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9955">
      <w:pPr>
        <w:spacing w:before="180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8"/>
          <w:sz w:val="28"/>
          <w:szCs w:val="28"/>
        </w:rPr>
        <w:t>附件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8"/>
          <w:sz w:val="28"/>
          <w:szCs w:val="28"/>
        </w:rPr>
        <w:t>1：</w:t>
      </w:r>
    </w:p>
    <w:p w14:paraId="2F4CD2AF">
      <w:pPr>
        <w:spacing w:before="253" w:line="218" w:lineRule="auto"/>
        <w:ind w:left="74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"/>
          <w:sz w:val="36"/>
          <w:szCs w:val="36"/>
        </w:rPr>
        <w:t>第五届中国研究生“双碳”创新与创意大赛</w:t>
      </w:r>
    </w:p>
    <w:p w14:paraId="4ECBB899">
      <w:pPr>
        <w:spacing w:before="198" w:line="218" w:lineRule="auto"/>
        <w:ind w:left="346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赛题说明</w:t>
      </w:r>
    </w:p>
    <w:p w14:paraId="053325A9">
      <w:pPr>
        <w:spacing w:line="244" w:lineRule="auto"/>
        <w:rPr>
          <w:rFonts w:ascii="Arial"/>
          <w:sz w:val="21"/>
        </w:rPr>
      </w:pPr>
    </w:p>
    <w:p w14:paraId="0408A285">
      <w:pPr>
        <w:spacing w:line="244" w:lineRule="auto"/>
        <w:rPr>
          <w:rFonts w:ascii="Arial"/>
          <w:sz w:val="21"/>
        </w:rPr>
      </w:pPr>
    </w:p>
    <w:p w14:paraId="1B5B5E88">
      <w:pPr>
        <w:spacing w:line="244" w:lineRule="auto"/>
        <w:rPr>
          <w:rFonts w:ascii="Arial"/>
          <w:sz w:val="21"/>
        </w:rPr>
      </w:pPr>
    </w:p>
    <w:p w14:paraId="660FF770">
      <w:pPr>
        <w:spacing w:line="245" w:lineRule="auto"/>
        <w:rPr>
          <w:rFonts w:ascii="Arial"/>
          <w:sz w:val="21"/>
        </w:rPr>
      </w:pPr>
    </w:p>
    <w:sdt>
      <w:sdtPr>
        <w:rPr>
          <w:rFonts w:ascii="黑体" w:hAnsi="黑体" w:eastAsia="黑体" w:cs="黑体"/>
          <w:sz w:val="31"/>
          <w:szCs w:val="31"/>
        </w:rPr>
        <w:id w:val="147464502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 w14:paraId="12E3D85E">
          <w:pPr>
            <w:spacing w:before="100" w:line="224" w:lineRule="auto"/>
            <w:ind w:left="3736"/>
            <w:rPr>
              <w:rFonts w:ascii="黑体" w:hAnsi="黑体" w:eastAsia="黑体" w:cs="黑体"/>
              <w:sz w:val="31"/>
              <w:szCs w:val="31"/>
            </w:rPr>
          </w:pPr>
          <w:r>
            <w:rPr>
              <w:rFonts w:ascii="黑体" w:hAnsi="黑体" w:eastAsia="黑体" w:cs="黑体"/>
              <w:b/>
              <w:bCs/>
              <w:spacing w:val="-25"/>
              <w:sz w:val="31"/>
              <w:szCs w:val="31"/>
            </w:rPr>
            <w:t>目</w:t>
          </w:r>
          <w:r>
            <w:rPr>
              <w:rFonts w:ascii="黑体" w:hAnsi="黑体" w:eastAsia="黑体" w:cs="黑体"/>
              <w:spacing w:val="15"/>
              <w:sz w:val="31"/>
              <w:szCs w:val="31"/>
            </w:rPr>
            <w:t xml:space="preserve">  </w:t>
          </w:r>
          <w:r>
            <w:rPr>
              <w:rFonts w:ascii="黑体" w:hAnsi="黑体" w:eastAsia="黑体" w:cs="黑体"/>
              <w:b/>
              <w:bCs/>
              <w:spacing w:val="-25"/>
              <w:sz w:val="31"/>
              <w:szCs w:val="31"/>
            </w:rPr>
            <w:t>录</w:t>
          </w:r>
        </w:p>
        <w:p w14:paraId="1F495AFA">
          <w:pPr>
            <w:pStyle w:val="2"/>
            <w:tabs>
              <w:tab w:val="right" w:leader="dot" w:pos="8312"/>
            </w:tabs>
            <w:spacing w:before="210" w:line="185" w:lineRule="auto"/>
            <w:ind w:left="24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6"/>
            </w:rPr>
            <w:t>赛道</w:t>
          </w:r>
          <w:r>
            <w:rPr>
              <w:spacing w:val="-33"/>
            </w:rPr>
            <w:t xml:space="preserve"> </w:t>
          </w:r>
          <w:r>
            <w:rPr>
              <w:spacing w:val="-6"/>
            </w:rPr>
            <w:t>1：清洁能源</w:t>
          </w:r>
          <w:r>
            <w:rPr>
              <w:spacing w:val="-34"/>
            </w:rPr>
            <w:t xml:space="preserve"> </w:t>
          </w:r>
          <w:r>
            <w:tab/>
          </w:r>
          <w:r>
            <w:rPr>
              <w:spacing w:val="17"/>
            </w:rPr>
            <w:t>3</w:t>
          </w:r>
          <w:r>
            <w:rPr>
              <w:spacing w:val="17"/>
            </w:rPr>
            <w:fldChar w:fldCharType="end"/>
          </w:r>
        </w:p>
        <w:p w14:paraId="6B98CB51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4"/>
            </w:rPr>
            <w:t>赛题</w:t>
          </w:r>
          <w:r>
            <w:rPr>
              <w:spacing w:val="-23"/>
            </w:rPr>
            <w:t xml:space="preserve"> </w:t>
          </w:r>
          <w:r>
            <w:rPr>
              <w:spacing w:val="-4"/>
            </w:rPr>
            <w:t xml:space="preserve">1.1：清洁化石燃料 </w:t>
          </w:r>
          <w:r>
            <w:tab/>
          </w:r>
          <w:r>
            <w:rPr>
              <w:spacing w:val="16"/>
            </w:rPr>
            <w:t>3</w:t>
          </w:r>
          <w:r>
            <w:rPr>
              <w:spacing w:val="16"/>
            </w:rPr>
            <w:fldChar w:fldCharType="end"/>
          </w:r>
        </w:p>
        <w:p w14:paraId="48900DD5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30"/>
            </w:rPr>
            <w:t xml:space="preserve"> </w:t>
          </w:r>
          <w:r>
            <w:rPr>
              <w:spacing w:val="-3"/>
            </w:rPr>
            <w:t xml:space="preserve">1.2：可再生能源与核能 </w:t>
          </w:r>
          <w:r>
            <w:tab/>
          </w:r>
          <w:r>
            <w:rPr>
              <w:spacing w:val="16"/>
            </w:rPr>
            <w:t>4</w:t>
          </w:r>
          <w:r>
            <w:rPr>
              <w:spacing w:val="16"/>
            </w:rPr>
            <w:fldChar w:fldCharType="end"/>
          </w:r>
        </w:p>
        <w:p w14:paraId="5DBBFD3B">
          <w:pPr>
            <w:pStyle w:val="2"/>
            <w:tabs>
              <w:tab w:val="right" w:leader="dot" w:pos="8312"/>
            </w:tabs>
            <w:spacing w:before="227" w:line="185" w:lineRule="auto"/>
            <w:ind w:left="24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3"/>
            </w:rPr>
            <w:t>赛道</w:t>
          </w:r>
          <w:r>
            <w:rPr>
              <w:spacing w:val="-36"/>
            </w:rPr>
            <w:t xml:space="preserve"> </w:t>
          </w:r>
          <w:r>
            <w:rPr>
              <w:spacing w:val="-3"/>
            </w:rPr>
            <w:t>2：新型电力系统、储能与氢能</w:t>
          </w:r>
          <w:r>
            <w:rPr>
              <w:spacing w:val="-31"/>
            </w:rPr>
            <w:t xml:space="preserve"> </w:t>
          </w:r>
          <w:r>
            <w:tab/>
          </w:r>
          <w:r>
            <w:rPr>
              <w:spacing w:val="16"/>
            </w:rPr>
            <w:t>5</w:t>
          </w:r>
          <w:r>
            <w:rPr>
              <w:spacing w:val="16"/>
            </w:rPr>
            <w:fldChar w:fldCharType="end"/>
          </w:r>
        </w:p>
        <w:p w14:paraId="16D99E09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8"/>
            </w:rPr>
            <w:t xml:space="preserve"> </w:t>
          </w:r>
          <w:r>
            <w:rPr>
              <w:spacing w:val="-2"/>
            </w:rPr>
            <w:t xml:space="preserve">2.1：新型电力系统 </w:t>
          </w:r>
          <w:r>
            <w:tab/>
          </w:r>
          <w:r>
            <w:rPr>
              <w:spacing w:val="16"/>
            </w:rPr>
            <w:t>5</w:t>
          </w:r>
          <w:r>
            <w:rPr>
              <w:spacing w:val="16"/>
            </w:rPr>
            <w:fldChar w:fldCharType="end"/>
          </w:r>
        </w:p>
        <w:p w14:paraId="5B21AA1B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42"/>
            </w:rPr>
            <w:t xml:space="preserve"> </w:t>
          </w:r>
          <w:r>
            <w:rPr>
              <w:spacing w:val="-3"/>
            </w:rPr>
            <w:t xml:space="preserve">2.2：储能技术 </w:t>
          </w:r>
          <w:r>
            <w:tab/>
          </w:r>
          <w:r>
            <w:rPr>
              <w:spacing w:val="16"/>
            </w:rPr>
            <w:t>6</w:t>
          </w:r>
          <w:r>
            <w:rPr>
              <w:spacing w:val="16"/>
            </w:rPr>
            <w:fldChar w:fldCharType="end"/>
          </w:r>
        </w:p>
        <w:p w14:paraId="33F0227F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7"/>
            </w:rPr>
            <w:t xml:space="preserve"> </w:t>
          </w:r>
          <w:r>
            <w:rPr>
              <w:spacing w:val="-2"/>
            </w:rPr>
            <w:t xml:space="preserve">2.3：氢能与氢基燃料 </w:t>
          </w:r>
          <w:r>
            <w:tab/>
          </w:r>
          <w:r>
            <w:rPr>
              <w:spacing w:val="16"/>
            </w:rPr>
            <w:t>7</w:t>
          </w:r>
          <w:r>
            <w:rPr>
              <w:spacing w:val="16"/>
            </w:rPr>
            <w:fldChar w:fldCharType="end"/>
          </w:r>
        </w:p>
        <w:p w14:paraId="28EF40DE">
          <w:pPr>
            <w:pStyle w:val="2"/>
            <w:tabs>
              <w:tab w:val="right" w:leader="dot" w:pos="8312"/>
            </w:tabs>
            <w:spacing w:before="228" w:line="185" w:lineRule="auto"/>
            <w:ind w:left="24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3"/>
            </w:rPr>
            <w:t>赛道</w:t>
          </w:r>
          <w:r>
            <w:rPr>
              <w:spacing w:val="-42"/>
            </w:rPr>
            <w:t xml:space="preserve"> </w:t>
          </w:r>
          <w:r>
            <w:rPr>
              <w:spacing w:val="-3"/>
            </w:rPr>
            <w:t>3：低碳农林业与自然碳汇</w:t>
          </w:r>
          <w:r>
            <w:rPr>
              <w:spacing w:val="-31"/>
            </w:rPr>
            <w:t xml:space="preserve"> </w:t>
          </w:r>
          <w:r>
            <w:tab/>
          </w:r>
          <w:r>
            <w:rPr>
              <w:spacing w:val="16"/>
            </w:rPr>
            <w:t>8</w:t>
          </w:r>
          <w:r>
            <w:rPr>
              <w:spacing w:val="16"/>
            </w:rPr>
            <w:fldChar w:fldCharType="end"/>
          </w:r>
        </w:p>
        <w:p w14:paraId="5817BFC8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42"/>
            </w:rPr>
            <w:t xml:space="preserve"> </w:t>
          </w:r>
          <w:r>
            <w:rPr>
              <w:spacing w:val="-3"/>
            </w:rPr>
            <w:t xml:space="preserve">3.1：低碳农业 </w:t>
          </w:r>
          <w:r>
            <w:tab/>
          </w:r>
          <w:r>
            <w:rPr>
              <w:spacing w:val="16"/>
            </w:rPr>
            <w:t>8</w:t>
          </w:r>
          <w:r>
            <w:rPr>
              <w:spacing w:val="16"/>
            </w:rPr>
            <w:fldChar w:fldCharType="end"/>
          </w:r>
        </w:p>
        <w:p w14:paraId="602C97E9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42"/>
            </w:rPr>
            <w:t xml:space="preserve"> </w:t>
          </w:r>
          <w:r>
            <w:rPr>
              <w:spacing w:val="-3"/>
            </w:rPr>
            <w:t xml:space="preserve">3.2：低碳林业 </w:t>
          </w:r>
          <w:r>
            <w:tab/>
          </w:r>
          <w:r>
            <w:rPr>
              <w:spacing w:val="16"/>
            </w:rPr>
            <w:t>9</w:t>
          </w:r>
          <w:r>
            <w:rPr>
              <w:spacing w:val="16"/>
            </w:rPr>
            <w:fldChar w:fldCharType="end"/>
          </w:r>
        </w:p>
        <w:p w14:paraId="4458D39F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1"/>
            </w:rPr>
            <w:t xml:space="preserve"> </w:t>
          </w:r>
          <w:r>
            <w:rPr>
              <w:spacing w:val="-2"/>
            </w:rPr>
            <w:t xml:space="preserve">3.3：湿地/草原/海洋碳汇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10</w:t>
          </w:r>
          <w:r>
            <w:rPr>
              <w:spacing w:val="-7"/>
            </w:rPr>
            <w:fldChar w:fldCharType="end"/>
          </w:r>
        </w:p>
        <w:p w14:paraId="699BE53F">
          <w:pPr>
            <w:pStyle w:val="2"/>
            <w:tabs>
              <w:tab w:val="right" w:leader="dot" w:pos="8312"/>
            </w:tabs>
            <w:spacing w:before="228" w:line="185" w:lineRule="auto"/>
            <w:ind w:left="24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3"/>
            </w:rPr>
            <w:t>赛道</w:t>
          </w:r>
          <w:r>
            <w:rPr>
              <w:spacing w:val="-42"/>
            </w:rPr>
            <w:t xml:space="preserve"> </w:t>
          </w:r>
          <w:r>
            <w:rPr>
              <w:spacing w:val="-3"/>
            </w:rPr>
            <w:t>4：低碳工业与绿色制造</w:t>
          </w:r>
          <w:r>
            <w:rPr>
              <w:spacing w:val="-34"/>
            </w:rPr>
            <w:t xml:space="preserve">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11</w:t>
          </w:r>
          <w:r>
            <w:rPr>
              <w:spacing w:val="-7"/>
            </w:rPr>
            <w:fldChar w:fldCharType="end"/>
          </w:r>
        </w:p>
        <w:p w14:paraId="7079686E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5"/>
            </w:rPr>
            <w:t xml:space="preserve"> </w:t>
          </w:r>
          <w:r>
            <w:rPr>
              <w:spacing w:val="-2"/>
            </w:rPr>
            <w:t xml:space="preserve">4.1：重点工业深度脱碳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11</w:t>
          </w:r>
          <w:r>
            <w:rPr>
              <w:spacing w:val="-7"/>
            </w:rPr>
            <w:fldChar w:fldCharType="end"/>
          </w:r>
        </w:p>
        <w:p w14:paraId="07CC8259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39"/>
            </w:rPr>
            <w:t xml:space="preserve"> </w:t>
          </w:r>
          <w:r>
            <w:rPr>
              <w:spacing w:val="-3"/>
            </w:rPr>
            <w:t>4.2：工业源与大气源</w:t>
          </w:r>
          <w:r>
            <w:rPr>
              <w:spacing w:val="-41"/>
            </w:rPr>
            <w:t xml:space="preserve"> </w:t>
          </w:r>
          <w:r>
            <w:rPr>
              <w:spacing w:val="-3"/>
            </w:rPr>
            <w:t>CCUS</w:t>
          </w:r>
          <w:r>
            <w:rPr>
              <w:spacing w:val="-64"/>
            </w:rPr>
            <w:t xml:space="preserve">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12</w:t>
          </w:r>
          <w:r>
            <w:rPr>
              <w:spacing w:val="-7"/>
            </w:rPr>
            <w:fldChar w:fldCharType="end"/>
          </w:r>
        </w:p>
        <w:p w14:paraId="0EDD5541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52"/>
            </w:rPr>
            <w:t xml:space="preserve"> </w:t>
          </w:r>
          <w:r>
            <w:rPr>
              <w:spacing w:val="-2"/>
            </w:rPr>
            <w:t xml:space="preserve">4.3：绿色制造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13</w:t>
          </w:r>
          <w:r>
            <w:rPr>
              <w:spacing w:val="-7"/>
            </w:rPr>
            <w:fldChar w:fldCharType="end"/>
          </w:r>
        </w:p>
        <w:p w14:paraId="64FB218A">
          <w:pPr>
            <w:pStyle w:val="2"/>
            <w:tabs>
              <w:tab w:val="right" w:leader="dot" w:pos="8312"/>
            </w:tabs>
            <w:spacing w:before="227" w:line="185" w:lineRule="auto"/>
            <w:ind w:left="24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4"/>
            </w:rPr>
            <w:t>赛道</w:t>
          </w:r>
          <w:r>
            <w:rPr>
              <w:spacing w:val="-38"/>
            </w:rPr>
            <w:t xml:space="preserve"> </w:t>
          </w:r>
          <w:r>
            <w:rPr>
              <w:spacing w:val="-4"/>
            </w:rPr>
            <w:t>5：低碳建筑与城市规划</w:t>
          </w:r>
          <w:r>
            <w:rPr>
              <w:spacing w:val="-25"/>
            </w:rPr>
            <w:t xml:space="preserve">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14</w:t>
          </w:r>
          <w:r>
            <w:rPr>
              <w:spacing w:val="-7"/>
            </w:rPr>
            <w:fldChar w:fldCharType="end"/>
          </w:r>
        </w:p>
        <w:p w14:paraId="4B26065B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0"/>
            </w:rPr>
            <w:t xml:space="preserve"> </w:t>
          </w:r>
          <w:r>
            <w:rPr>
              <w:spacing w:val="-2"/>
            </w:rPr>
            <w:t xml:space="preserve">5.1：低零碳建筑设计与建造 </w:t>
          </w:r>
          <w:r>
            <w:tab/>
          </w:r>
          <w:r>
            <w:rPr>
              <w:spacing w:val="-76"/>
            </w:rPr>
            <w:t xml:space="preserve"> </w:t>
          </w:r>
          <w:r>
            <w:rPr>
              <w:spacing w:val="-7"/>
            </w:rPr>
            <w:t>14</w:t>
          </w:r>
          <w:r>
            <w:rPr>
              <w:spacing w:val="-7"/>
            </w:rPr>
            <w:fldChar w:fldCharType="end"/>
          </w:r>
        </w:p>
        <w:p w14:paraId="3E49F859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8"/>
            </w:rPr>
            <w:t xml:space="preserve"> </w:t>
          </w:r>
          <w:r>
            <w:rPr>
              <w:spacing w:val="-2"/>
            </w:rPr>
            <w:t xml:space="preserve">5.2：建筑能源系统与供热技术 </w:t>
          </w:r>
          <w:r>
            <w:tab/>
          </w:r>
          <w:r>
            <w:rPr>
              <w:spacing w:val="-76"/>
            </w:rPr>
            <w:t xml:space="preserve"> </w:t>
          </w:r>
          <w:r>
            <w:rPr>
              <w:spacing w:val="-7"/>
            </w:rPr>
            <w:t>15</w:t>
          </w:r>
          <w:r>
            <w:rPr>
              <w:spacing w:val="-7"/>
            </w:rPr>
            <w:fldChar w:fldCharType="end"/>
          </w:r>
        </w:p>
        <w:p w14:paraId="4CD7D6C0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3"/>
            </w:rPr>
            <w:t xml:space="preserve"> </w:t>
          </w:r>
          <w:r>
            <w:rPr>
              <w:spacing w:val="-2"/>
            </w:rPr>
            <w:t xml:space="preserve">5.3：零碳城市与社区规划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16</w:t>
          </w:r>
          <w:r>
            <w:rPr>
              <w:spacing w:val="-7"/>
            </w:rPr>
            <w:fldChar w:fldCharType="end"/>
          </w:r>
        </w:p>
        <w:p w14:paraId="0C18C79E">
          <w:pPr>
            <w:pStyle w:val="2"/>
            <w:tabs>
              <w:tab w:val="right" w:leader="dot" w:pos="8312"/>
            </w:tabs>
            <w:spacing w:before="227" w:line="185" w:lineRule="auto"/>
            <w:ind w:left="24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4"/>
            </w:rPr>
            <w:t>赛道</w:t>
          </w:r>
          <w:r>
            <w:rPr>
              <w:spacing w:val="-45"/>
            </w:rPr>
            <w:t xml:space="preserve"> </w:t>
          </w:r>
          <w:r>
            <w:rPr>
              <w:spacing w:val="-4"/>
            </w:rPr>
            <w:t>6：低零碳交通</w:t>
          </w:r>
          <w:r>
            <w:rPr>
              <w:spacing w:val="-34"/>
            </w:rPr>
            <w:t xml:space="preserve"> </w:t>
          </w:r>
          <w:r>
            <w:tab/>
          </w:r>
          <w:r>
            <w:rPr>
              <w:spacing w:val="-76"/>
            </w:rPr>
            <w:t xml:space="preserve"> </w:t>
          </w:r>
          <w:r>
            <w:rPr>
              <w:spacing w:val="-7"/>
            </w:rPr>
            <w:t>17</w:t>
          </w:r>
          <w:r>
            <w:rPr>
              <w:spacing w:val="-7"/>
            </w:rPr>
            <w:fldChar w:fldCharType="end"/>
          </w:r>
        </w:p>
        <w:p w14:paraId="3C501147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9"/>
            </w:rPr>
            <w:t xml:space="preserve"> </w:t>
          </w:r>
          <w:r>
            <w:rPr>
              <w:spacing w:val="-2"/>
            </w:rPr>
            <w:t xml:space="preserve">6.1：零碳道路交通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17</w:t>
          </w:r>
          <w:r>
            <w:rPr>
              <w:spacing w:val="-7"/>
            </w:rPr>
            <w:fldChar w:fldCharType="end"/>
          </w:r>
        </w:p>
        <w:p w14:paraId="60796FA0">
          <w:pPr>
            <w:pStyle w:val="2"/>
            <w:tabs>
              <w:tab w:val="right" w:leader="dot" w:pos="8312"/>
            </w:tabs>
            <w:spacing w:before="227" w:line="220" w:lineRule="auto"/>
            <w:ind w:left="583"/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7"/>
            </w:rPr>
            <w:t xml:space="preserve"> </w:t>
          </w:r>
          <w:r>
            <w:rPr>
              <w:spacing w:val="-2"/>
            </w:rPr>
            <w:t xml:space="preserve">6.2：航空与航运脱碳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18</w:t>
          </w:r>
          <w:r>
            <w:rPr>
              <w:spacing w:val="-7"/>
            </w:rPr>
            <w:fldChar w:fldCharType="end"/>
          </w:r>
        </w:p>
      </w:sdtContent>
    </w:sdt>
    <w:p w14:paraId="03980A6D">
      <w:pPr>
        <w:spacing w:line="220" w:lineRule="auto"/>
        <w:sectPr>
          <w:footerReference r:id="rId5" w:type="default"/>
          <w:pgSz w:w="11907" w:h="16839"/>
          <w:pgMar w:top="1431" w:right="1785" w:bottom="1198" w:left="1785" w:header="0" w:footer="966" w:gutter="0"/>
          <w:cols w:space="720" w:num="1"/>
        </w:sectPr>
      </w:pPr>
    </w:p>
    <w:sdt>
      <w:sdtPr>
        <w:rPr>
          <w:rFonts w:ascii="宋体" w:hAnsi="宋体" w:eastAsia="宋体" w:cs="宋体"/>
          <w:sz w:val="24"/>
          <w:szCs w:val="24"/>
        </w:rPr>
        <w:id w:val="147452834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 w14:paraId="367C9920">
          <w:pPr>
            <w:pStyle w:val="2"/>
            <w:tabs>
              <w:tab w:val="right" w:leader="dot" w:pos="8312"/>
            </w:tabs>
            <w:spacing w:before="124" w:line="185" w:lineRule="auto"/>
            <w:ind w:left="24"/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3"/>
            </w:rPr>
            <w:t>赛道</w:t>
          </w:r>
          <w:r>
            <w:rPr>
              <w:spacing w:val="-44"/>
            </w:rPr>
            <w:t xml:space="preserve"> </w:t>
          </w:r>
          <w:r>
            <w:rPr>
              <w:spacing w:val="-3"/>
            </w:rPr>
            <w:t>7：减污降碳与循环经济</w:t>
          </w:r>
          <w:r>
            <w:rPr>
              <w:spacing w:val="-32"/>
            </w:rPr>
            <w:t xml:space="preserve">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spacing w:val="-7"/>
            </w:rPr>
            <w:t>19</w:t>
          </w:r>
          <w:r>
            <w:rPr>
              <w:spacing w:val="-7"/>
            </w:rPr>
            <w:fldChar w:fldCharType="end"/>
          </w:r>
        </w:p>
        <w:p w14:paraId="3DAEE4D9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4"/>
            </w:rPr>
            <w:t xml:space="preserve"> </w:t>
          </w:r>
          <w:r>
            <w:rPr>
              <w:spacing w:val="-2"/>
            </w:rPr>
            <w:t xml:space="preserve">7.1：温室气体与大气污染监测控制 </w:t>
          </w:r>
          <w:r>
            <w:tab/>
          </w:r>
          <w:r>
            <w:rPr>
              <w:spacing w:val="-76"/>
            </w:rPr>
            <w:t xml:space="preserve"> </w:t>
          </w:r>
          <w:r>
            <w:rPr>
              <w:spacing w:val="-7"/>
            </w:rPr>
            <w:t>19</w:t>
          </w:r>
          <w:r>
            <w:rPr>
              <w:spacing w:val="-7"/>
            </w:rPr>
            <w:fldChar w:fldCharType="end"/>
          </w:r>
        </w:p>
        <w:p w14:paraId="203CF79A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6"/>
            </w:rPr>
            <w:t xml:space="preserve"> </w:t>
          </w:r>
          <w:r>
            <w:rPr>
              <w:spacing w:val="-2"/>
            </w:rPr>
            <w:t xml:space="preserve">7.2：固废、废水与土壤低碳处理 </w:t>
          </w:r>
          <w:r>
            <w:tab/>
          </w:r>
          <w:r>
            <w:rPr>
              <w:spacing w:val="8"/>
            </w:rPr>
            <w:t>20</w:t>
          </w:r>
          <w:r>
            <w:rPr>
              <w:spacing w:val="8"/>
            </w:rPr>
            <w:fldChar w:fldCharType="end"/>
          </w:r>
        </w:p>
        <w:p w14:paraId="16213495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3"/>
            </w:rPr>
            <w:t xml:space="preserve"> </w:t>
          </w:r>
          <w:r>
            <w:rPr>
              <w:spacing w:val="-2"/>
            </w:rPr>
            <w:t xml:space="preserve">7.3：循环经济与零碳园区 </w:t>
          </w:r>
          <w:r>
            <w:tab/>
          </w:r>
          <w:r>
            <w:rPr>
              <w:spacing w:val="8"/>
            </w:rPr>
            <w:t>21</w:t>
          </w:r>
          <w:r>
            <w:rPr>
              <w:spacing w:val="8"/>
            </w:rPr>
            <w:fldChar w:fldCharType="end"/>
          </w:r>
        </w:p>
        <w:p w14:paraId="35E7833F">
          <w:pPr>
            <w:pStyle w:val="2"/>
            <w:tabs>
              <w:tab w:val="right" w:leader="dot" w:pos="8312"/>
            </w:tabs>
            <w:spacing w:before="227" w:line="185" w:lineRule="auto"/>
            <w:ind w:left="24"/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-3"/>
            </w:rPr>
            <w:t>赛道</w:t>
          </w:r>
          <w:r>
            <w:rPr>
              <w:spacing w:val="-40"/>
            </w:rPr>
            <w:t xml:space="preserve"> </w:t>
          </w:r>
          <w:r>
            <w:rPr>
              <w:spacing w:val="-3"/>
            </w:rPr>
            <w:t>8：气候机理、韧性与适应</w:t>
          </w:r>
          <w:r>
            <w:rPr>
              <w:spacing w:val="-33"/>
            </w:rPr>
            <w:t xml:space="preserve"> </w:t>
          </w:r>
          <w:r>
            <w:tab/>
          </w:r>
          <w:r>
            <w:rPr>
              <w:spacing w:val="8"/>
            </w:rPr>
            <w:t>22</w:t>
          </w:r>
          <w:r>
            <w:rPr>
              <w:spacing w:val="8"/>
            </w:rPr>
            <w:fldChar w:fldCharType="end"/>
          </w:r>
        </w:p>
        <w:p w14:paraId="5409FCF6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6"/>
            </w:rPr>
            <w:t xml:space="preserve"> </w:t>
          </w:r>
          <w:r>
            <w:rPr>
              <w:spacing w:val="-2"/>
            </w:rPr>
            <w:t xml:space="preserve">8.1：碳源汇监测与气候系统机理 </w:t>
          </w:r>
          <w:r>
            <w:tab/>
          </w:r>
          <w:r>
            <w:rPr>
              <w:spacing w:val="8"/>
            </w:rPr>
            <w:t>22</w:t>
          </w:r>
          <w:r>
            <w:rPr>
              <w:spacing w:val="8"/>
            </w:rPr>
            <w:fldChar w:fldCharType="end"/>
          </w:r>
        </w:p>
        <w:p w14:paraId="57E90D82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4"/>
            </w:rPr>
            <w:t xml:space="preserve"> </w:t>
          </w:r>
          <w:r>
            <w:rPr>
              <w:spacing w:val="-2"/>
            </w:rPr>
            <w:t xml:space="preserve">8.2：气候风险、韧性与适应性建设 </w:t>
          </w:r>
          <w:r>
            <w:tab/>
          </w:r>
          <w:r>
            <w:rPr>
              <w:spacing w:val="8"/>
            </w:rPr>
            <w:t>23</w:t>
          </w:r>
          <w:r>
            <w:rPr>
              <w:spacing w:val="8"/>
            </w:rPr>
            <w:fldChar w:fldCharType="end"/>
          </w:r>
        </w:p>
        <w:p w14:paraId="6FFD1330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3"/>
            </w:rPr>
            <w:t xml:space="preserve"> </w:t>
          </w:r>
          <w:r>
            <w:rPr>
              <w:spacing w:val="-2"/>
            </w:rPr>
            <w:t xml:space="preserve">8.3：气候变化与健康影响 </w:t>
          </w:r>
          <w:r>
            <w:tab/>
          </w:r>
          <w:r>
            <w:rPr>
              <w:spacing w:val="8"/>
            </w:rPr>
            <w:t>24</w:t>
          </w:r>
          <w:r>
            <w:rPr>
              <w:spacing w:val="8"/>
            </w:rPr>
            <w:fldChar w:fldCharType="end"/>
          </w:r>
        </w:p>
        <w:p w14:paraId="54E6EFFB">
          <w:pPr>
            <w:pStyle w:val="2"/>
            <w:tabs>
              <w:tab w:val="right" w:leader="dot" w:pos="8312"/>
            </w:tabs>
            <w:spacing w:before="227" w:line="185" w:lineRule="auto"/>
            <w:ind w:left="24"/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spacing w:val="-3"/>
            </w:rPr>
            <w:t>赛道</w:t>
          </w:r>
          <w:r>
            <w:rPr>
              <w:spacing w:val="-38"/>
            </w:rPr>
            <w:t xml:space="preserve"> </w:t>
          </w:r>
          <w:r>
            <w:rPr>
              <w:spacing w:val="-3"/>
            </w:rPr>
            <w:t>9：绿色经济、金融与治理</w:t>
          </w:r>
          <w:r>
            <w:rPr>
              <w:spacing w:val="-35"/>
            </w:rPr>
            <w:t xml:space="preserve"> </w:t>
          </w:r>
          <w:r>
            <w:tab/>
          </w:r>
          <w:r>
            <w:rPr>
              <w:spacing w:val="8"/>
            </w:rPr>
            <w:t>25</w:t>
          </w:r>
          <w:r>
            <w:rPr>
              <w:spacing w:val="8"/>
            </w:rPr>
            <w:fldChar w:fldCharType="end"/>
          </w:r>
        </w:p>
        <w:p w14:paraId="3EA58BB6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7"/>
            </w:rPr>
            <w:t xml:space="preserve"> </w:t>
          </w:r>
          <w:r>
            <w:rPr>
              <w:spacing w:val="-2"/>
            </w:rPr>
            <w:t xml:space="preserve">9.1：碳中和转型治理 </w:t>
          </w:r>
          <w:r>
            <w:tab/>
          </w:r>
          <w:r>
            <w:rPr>
              <w:spacing w:val="8"/>
            </w:rPr>
            <w:t>25</w:t>
          </w:r>
          <w:r>
            <w:rPr>
              <w:spacing w:val="8"/>
            </w:rPr>
            <w:fldChar w:fldCharType="end"/>
          </w:r>
        </w:p>
        <w:p w14:paraId="72A50F92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7"/>
            </w:rPr>
            <w:t xml:space="preserve"> </w:t>
          </w:r>
          <w:r>
            <w:rPr>
              <w:spacing w:val="-2"/>
            </w:rPr>
            <w:t xml:space="preserve">9.2：碳足迹与碳市场 </w:t>
          </w:r>
          <w:r>
            <w:tab/>
          </w:r>
          <w:r>
            <w:rPr>
              <w:spacing w:val="8"/>
            </w:rPr>
            <w:t>26</w:t>
          </w:r>
          <w:r>
            <w:rPr>
              <w:spacing w:val="8"/>
            </w:rPr>
            <w:fldChar w:fldCharType="end"/>
          </w:r>
        </w:p>
        <w:p w14:paraId="65CD462D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7"/>
            </w:rPr>
            <w:t xml:space="preserve"> </w:t>
          </w:r>
          <w:r>
            <w:rPr>
              <w:spacing w:val="-2"/>
            </w:rPr>
            <w:t xml:space="preserve">9.3：绿色经济与金融 </w:t>
          </w:r>
          <w:r>
            <w:tab/>
          </w:r>
          <w:r>
            <w:rPr>
              <w:spacing w:val="8"/>
            </w:rPr>
            <w:t>27</w:t>
          </w:r>
          <w:r>
            <w:rPr>
              <w:spacing w:val="8"/>
            </w:rPr>
            <w:fldChar w:fldCharType="end"/>
          </w:r>
        </w:p>
        <w:p w14:paraId="096C8A91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49"/>
            </w:rPr>
            <w:t xml:space="preserve"> </w:t>
          </w:r>
          <w:r>
            <w:rPr>
              <w:spacing w:val="-2"/>
            </w:rPr>
            <w:t xml:space="preserve">9.4：关键矿产治理 </w:t>
          </w:r>
          <w:r>
            <w:tab/>
          </w:r>
          <w:r>
            <w:rPr>
              <w:spacing w:val="8"/>
            </w:rPr>
            <w:t>28</w:t>
          </w:r>
          <w:r>
            <w:rPr>
              <w:spacing w:val="8"/>
            </w:rPr>
            <w:fldChar w:fldCharType="end"/>
          </w:r>
        </w:p>
        <w:p w14:paraId="547EDE13">
          <w:pPr>
            <w:pStyle w:val="2"/>
            <w:tabs>
              <w:tab w:val="right" w:leader="dot" w:pos="8312"/>
            </w:tabs>
            <w:spacing w:before="228" w:line="185" w:lineRule="auto"/>
            <w:ind w:left="24"/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spacing w:val="-5"/>
            </w:rPr>
            <w:t>赛道</w:t>
          </w:r>
          <w:r>
            <w:rPr>
              <w:spacing w:val="-22"/>
            </w:rPr>
            <w:t xml:space="preserve"> </w:t>
          </w:r>
          <w:r>
            <w:rPr>
              <w:spacing w:val="-5"/>
            </w:rPr>
            <w:t>10：数字智能赋能碳中和</w:t>
          </w:r>
          <w:r>
            <w:rPr>
              <w:spacing w:val="-23"/>
            </w:rPr>
            <w:t xml:space="preserve"> </w:t>
          </w:r>
          <w:r>
            <w:tab/>
          </w:r>
          <w:r>
            <w:rPr>
              <w:spacing w:val="8"/>
            </w:rPr>
            <w:t>29</w:t>
          </w:r>
          <w:r>
            <w:rPr>
              <w:spacing w:val="8"/>
            </w:rPr>
            <w:fldChar w:fldCharType="end"/>
          </w:r>
        </w:p>
        <w:p w14:paraId="2B66605B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spacing w:val="-4"/>
            </w:rPr>
            <w:t>赛题</w:t>
          </w:r>
          <w:r>
            <w:rPr>
              <w:spacing w:val="-26"/>
            </w:rPr>
            <w:t xml:space="preserve"> </w:t>
          </w:r>
          <w:r>
            <w:rPr>
              <w:spacing w:val="-4"/>
            </w:rPr>
            <w:t>10.1：赋能碳中和的</w:t>
          </w:r>
          <w:r>
            <w:rPr>
              <w:spacing w:val="-38"/>
            </w:rPr>
            <w:t xml:space="preserve"> </w:t>
          </w:r>
          <w:r>
            <w:rPr>
              <w:spacing w:val="-4"/>
            </w:rPr>
            <w:t>AI</w:t>
          </w:r>
          <w:r>
            <w:rPr>
              <w:spacing w:val="-50"/>
            </w:rPr>
            <w:t xml:space="preserve"> </w:t>
          </w:r>
          <w:r>
            <w:rPr>
              <w:spacing w:val="-4"/>
            </w:rPr>
            <w:t xml:space="preserve">方法创新 </w:t>
          </w:r>
          <w:r>
            <w:tab/>
          </w:r>
          <w:r>
            <w:rPr>
              <w:spacing w:val="8"/>
            </w:rPr>
            <w:t>29</w:t>
          </w:r>
          <w:r>
            <w:rPr>
              <w:spacing w:val="8"/>
            </w:rPr>
            <w:fldChar w:fldCharType="end"/>
          </w:r>
        </w:p>
        <w:p w14:paraId="1DDDD587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27"/>
            </w:rPr>
            <w:t xml:space="preserve"> </w:t>
          </w:r>
          <w:r>
            <w:rPr>
              <w:spacing w:val="-3"/>
            </w:rPr>
            <w:t xml:space="preserve">10.2：绿色数字基础设施 </w:t>
          </w:r>
          <w:r>
            <w:tab/>
          </w:r>
          <w:r>
            <w:rPr>
              <w:spacing w:val="8"/>
            </w:rPr>
            <w:t>30</w:t>
          </w:r>
          <w:r>
            <w:rPr>
              <w:spacing w:val="8"/>
            </w:rPr>
            <w:fldChar w:fldCharType="end"/>
          </w:r>
        </w:p>
        <w:p w14:paraId="3D41C512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3"/>
            </w:rPr>
            <w:t xml:space="preserve"> </w:t>
          </w:r>
          <w:r>
            <w:rPr>
              <w:spacing w:val="-2"/>
            </w:rPr>
            <w:t xml:space="preserve">10.3：通用数字孪生与碳管理平台 </w:t>
          </w:r>
          <w:r>
            <w:tab/>
          </w:r>
          <w:r>
            <w:rPr>
              <w:spacing w:val="8"/>
            </w:rPr>
            <w:t>31</w:t>
          </w:r>
          <w:r>
            <w:rPr>
              <w:spacing w:val="8"/>
            </w:rPr>
            <w:fldChar w:fldCharType="end"/>
          </w:r>
        </w:p>
        <w:p w14:paraId="0C393820">
          <w:pPr>
            <w:pStyle w:val="2"/>
            <w:tabs>
              <w:tab w:val="right" w:leader="dot" w:pos="8312"/>
            </w:tabs>
            <w:spacing w:before="227" w:line="185" w:lineRule="auto"/>
            <w:ind w:left="24"/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spacing w:val="-6"/>
            </w:rPr>
            <w:t>赛道</w:t>
          </w:r>
          <w:r>
            <w:rPr>
              <w:spacing w:val="-27"/>
            </w:rPr>
            <w:t xml:space="preserve"> </w:t>
          </w:r>
          <w:r>
            <w:rPr>
              <w:spacing w:val="-6"/>
            </w:rPr>
            <w:t>11：绿色航空动力</w:t>
          </w:r>
          <w:r>
            <w:rPr>
              <w:spacing w:val="-22"/>
            </w:rPr>
            <w:t xml:space="preserve"> </w:t>
          </w:r>
          <w:r>
            <w:tab/>
          </w:r>
          <w:r>
            <w:rPr>
              <w:spacing w:val="8"/>
            </w:rPr>
            <w:t>32</w:t>
          </w:r>
          <w:r>
            <w:rPr>
              <w:spacing w:val="8"/>
            </w:rPr>
            <w:fldChar w:fldCharType="end"/>
          </w:r>
        </w:p>
        <w:p w14:paraId="50C28885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24"/>
            </w:rPr>
            <w:t xml:space="preserve"> </w:t>
          </w:r>
          <w:r>
            <w:rPr>
              <w:spacing w:val="-3"/>
            </w:rPr>
            <w:t xml:space="preserve">11.1：航空混合电推进系统 </w:t>
          </w:r>
          <w:r>
            <w:tab/>
          </w:r>
          <w:r>
            <w:rPr>
              <w:spacing w:val="8"/>
            </w:rPr>
            <w:t>32</w:t>
          </w:r>
          <w:r>
            <w:rPr>
              <w:spacing w:val="8"/>
            </w:rPr>
            <w:fldChar w:fldCharType="end"/>
          </w:r>
        </w:p>
        <w:p w14:paraId="639FE958">
          <w:pPr>
            <w:pStyle w:val="2"/>
            <w:tabs>
              <w:tab w:val="right" w:leader="dot" w:pos="8312"/>
            </w:tabs>
            <w:spacing w:before="227" w:line="185" w:lineRule="auto"/>
            <w:ind w:left="583"/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spacing w:val="-3"/>
            </w:rPr>
            <w:t>赛题</w:t>
          </w:r>
          <w:r>
            <w:rPr>
              <w:spacing w:val="-24"/>
            </w:rPr>
            <w:t xml:space="preserve"> </w:t>
          </w:r>
          <w:r>
            <w:rPr>
              <w:spacing w:val="-3"/>
            </w:rPr>
            <w:t xml:space="preserve">11.2：航空发动机数字孪生 </w:t>
          </w:r>
          <w:r>
            <w:tab/>
          </w:r>
          <w:r>
            <w:rPr>
              <w:spacing w:val="8"/>
            </w:rPr>
            <w:t>32</w:t>
          </w:r>
          <w:r>
            <w:rPr>
              <w:spacing w:val="8"/>
            </w:rPr>
            <w:fldChar w:fldCharType="end"/>
          </w:r>
        </w:p>
        <w:p w14:paraId="046E7C5F">
          <w:pPr>
            <w:pStyle w:val="2"/>
            <w:tabs>
              <w:tab w:val="right" w:leader="dot" w:pos="8312"/>
            </w:tabs>
            <w:spacing w:before="228" w:line="185" w:lineRule="auto"/>
            <w:ind w:left="583"/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3"/>
            </w:rPr>
            <w:t xml:space="preserve"> </w:t>
          </w:r>
          <w:r>
            <w:rPr>
              <w:spacing w:val="-2"/>
            </w:rPr>
            <w:t xml:space="preserve">11.3：氢能航空发动机高效热管理 </w:t>
          </w:r>
          <w:r>
            <w:tab/>
          </w:r>
          <w:r>
            <w:rPr>
              <w:spacing w:val="8"/>
            </w:rPr>
            <w:t>33</w:t>
          </w:r>
          <w:r>
            <w:rPr>
              <w:spacing w:val="8"/>
            </w:rPr>
            <w:fldChar w:fldCharType="end"/>
          </w:r>
        </w:p>
        <w:p w14:paraId="3FB32B33">
          <w:pPr>
            <w:pStyle w:val="2"/>
            <w:tabs>
              <w:tab w:val="right" w:leader="dot" w:pos="8312"/>
            </w:tabs>
            <w:spacing w:before="228" w:line="219" w:lineRule="auto"/>
            <w:ind w:left="583"/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spacing w:val="-2"/>
            </w:rPr>
            <w:t>赛题</w:t>
          </w:r>
          <w:r>
            <w:rPr>
              <w:spacing w:val="-33"/>
            </w:rPr>
            <w:t xml:space="preserve"> </w:t>
          </w:r>
          <w:r>
            <w:rPr>
              <w:spacing w:val="-2"/>
            </w:rPr>
            <w:t xml:space="preserve">11.4：航空发动机低碳燃烧室设计 </w:t>
          </w:r>
          <w:r>
            <w:tab/>
          </w:r>
          <w:r>
            <w:rPr>
              <w:spacing w:val="8"/>
            </w:rPr>
            <w:t>33</w:t>
          </w:r>
          <w:r>
            <w:rPr>
              <w:spacing w:val="8"/>
            </w:rPr>
            <w:fldChar w:fldCharType="end"/>
          </w:r>
        </w:p>
      </w:sdtContent>
    </w:sdt>
    <w:p w14:paraId="620FDFA4">
      <w:pPr>
        <w:spacing w:line="219" w:lineRule="auto"/>
        <w:sectPr>
          <w:footerReference r:id="rId6" w:type="default"/>
          <w:pgSz w:w="11907" w:h="16839"/>
          <w:pgMar w:top="1431" w:right="1785" w:bottom="1198" w:left="1785" w:header="0" w:footer="966" w:gutter="0"/>
          <w:cols w:space="720" w:num="1"/>
        </w:sectPr>
      </w:pPr>
    </w:p>
    <w:p w14:paraId="46107C1B">
      <w:pPr>
        <w:spacing w:before="16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0" w:name="bookmark1"/>
      <w:bookmarkEnd w:id="0"/>
      <w:r>
        <w:rPr>
          <w:rFonts w:ascii="黑体" w:hAnsi="黑体" w:eastAsia="黑体" w:cs="黑体"/>
          <w:spacing w:val="-6"/>
          <w:sz w:val="31"/>
          <w:szCs w:val="31"/>
        </w:rPr>
        <w:t>赛道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Arial" w:hAnsi="Arial" w:eastAsia="Arial" w:cs="Arial"/>
          <w:spacing w:val="-6"/>
          <w:sz w:val="31"/>
          <w:szCs w:val="31"/>
        </w:rPr>
        <w:t>1</w:t>
      </w:r>
      <w:r>
        <w:rPr>
          <w:rFonts w:ascii="Arial" w:hAnsi="Arial" w:eastAsia="Arial" w:cs="Arial"/>
          <w:spacing w:val="-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：清洁能源</w:t>
      </w:r>
    </w:p>
    <w:p w14:paraId="7674D041">
      <w:pPr>
        <w:spacing w:line="313" w:lineRule="auto"/>
        <w:rPr>
          <w:rFonts w:ascii="Arial"/>
          <w:sz w:val="21"/>
        </w:rPr>
      </w:pPr>
    </w:p>
    <w:p w14:paraId="779C0A17">
      <w:pPr>
        <w:spacing w:before="91" w:line="216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" w:name="bookmark2"/>
      <w:bookmarkEnd w:id="1"/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赛题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1.1：清洁化石燃料</w:t>
      </w:r>
    </w:p>
    <w:p w14:paraId="73E25CD9">
      <w:pPr>
        <w:spacing w:line="281" w:lineRule="auto"/>
        <w:rPr>
          <w:rFonts w:ascii="Arial"/>
          <w:sz w:val="21"/>
        </w:rPr>
      </w:pPr>
    </w:p>
    <w:p w14:paraId="697B6472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47780519">
      <w:pPr>
        <w:spacing w:before="294" w:line="411" w:lineRule="auto"/>
        <w:ind w:left="34" w:right="13" w:firstLine="41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化石能源在较长时期内仍承担能源安全和工业原料保障功能</w:t>
      </w:r>
      <w:r>
        <w:rPr>
          <w:rFonts w:ascii="仿宋" w:hAnsi="仿宋" w:eastAsia="仿宋" w:cs="仿宋"/>
          <w:sz w:val="28"/>
          <w:szCs w:val="28"/>
        </w:rPr>
        <w:t>，但</w:t>
      </w:r>
      <w:r>
        <w:rPr>
          <w:rFonts w:ascii="仿宋" w:hAnsi="仿宋" w:eastAsia="仿宋" w:cs="仿宋"/>
          <w:spacing w:val="-4"/>
          <w:sz w:val="28"/>
          <w:szCs w:val="28"/>
        </w:rPr>
        <w:t>其高碳排放特征与碳达峰碳中和目标存在突出矛盾。围绕煤、油、气</w:t>
      </w:r>
      <w:r>
        <w:rPr>
          <w:rFonts w:ascii="仿宋" w:hAnsi="仿宋" w:eastAsia="仿宋" w:cs="仿宋"/>
          <w:spacing w:val="-10"/>
          <w:sz w:val="28"/>
          <w:szCs w:val="28"/>
        </w:rPr>
        <w:t>等传统能源开展清洁高效利用、污染物协同控制、碳捕集利用与</w:t>
      </w:r>
      <w:r>
        <w:rPr>
          <w:rFonts w:ascii="仿宋" w:hAnsi="仿宋" w:eastAsia="仿宋" w:cs="仿宋"/>
          <w:spacing w:val="-11"/>
          <w:sz w:val="28"/>
          <w:szCs w:val="28"/>
        </w:rPr>
        <w:t>封存，</w:t>
      </w:r>
      <w:r>
        <w:rPr>
          <w:rFonts w:ascii="仿宋" w:hAnsi="仿宋" w:eastAsia="仿宋" w:cs="仿宋"/>
          <w:spacing w:val="-3"/>
          <w:sz w:val="28"/>
          <w:szCs w:val="28"/>
        </w:rPr>
        <w:t>是推动能源体系平稳低碳转型的重要基础。</w:t>
      </w:r>
    </w:p>
    <w:p w14:paraId="2F3C1338">
      <w:pPr>
        <w:spacing w:before="1" w:line="218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26E8786A">
      <w:pPr>
        <w:spacing w:before="293" w:line="215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1.煤炭、油气等化石燃料清洁高效转化与梯级利用</w:t>
      </w:r>
    </w:p>
    <w:p w14:paraId="7BEB5C6C">
      <w:pPr>
        <w:spacing w:before="299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2.燃烧过程节能增效、低氮低碳燃烧与污染物协同控制</w:t>
      </w:r>
    </w:p>
    <w:p w14:paraId="6CFD934E">
      <w:pPr>
        <w:spacing w:before="296" w:line="411" w:lineRule="auto"/>
        <w:ind w:left="32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3.煤油气领域碳捕集、利用与封存（CCUS</w:t>
      </w:r>
      <w:r>
        <w:rPr>
          <w:rFonts w:ascii="仿宋" w:hAnsi="仿宋" w:eastAsia="仿宋" w:cs="仿宋"/>
          <w:spacing w:val="-74"/>
          <w:w w:val="91"/>
          <w:sz w:val="28"/>
          <w:szCs w:val="28"/>
        </w:rPr>
        <w:t>）（</w:t>
      </w:r>
      <w:r>
        <w:rPr>
          <w:rFonts w:ascii="仿宋" w:hAnsi="仿宋" w:eastAsia="仿宋" w:cs="仿宋"/>
          <w:spacing w:val="-1"/>
          <w:sz w:val="28"/>
          <w:szCs w:val="28"/>
        </w:rPr>
        <w:t>C</w:t>
      </w:r>
      <w:r>
        <w:rPr>
          <w:rFonts w:ascii="仿宋" w:hAnsi="仿宋" w:eastAsia="仿宋" w:cs="仿宋"/>
          <w:spacing w:val="-2"/>
          <w:sz w:val="28"/>
          <w:szCs w:val="28"/>
        </w:rPr>
        <w:t>O</w:t>
      </w:r>
      <w:r>
        <w:rPr>
          <w:rFonts w:ascii="Cambria Math" w:hAnsi="Cambria Math" w:eastAsia="Cambria Math" w:cs="Cambria Math"/>
          <w:spacing w:val="-2"/>
          <w:sz w:val="28"/>
          <w:szCs w:val="28"/>
        </w:rPr>
        <w:t>₂</w:t>
      </w:r>
      <w:r>
        <w:rPr>
          <w:rFonts w:ascii="Cambria Math" w:hAnsi="Cambria Math" w:eastAsia="Cambria Math" w:cs="Cambria Math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驱油与地质封存、油</w:t>
      </w:r>
      <w:r>
        <w:rPr>
          <w:rFonts w:ascii="仿宋" w:hAnsi="仿宋" w:eastAsia="仿宋" w:cs="仿宋"/>
          <w:spacing w:val="-4"/>
          <w:sz w:val="28"/>
          <w:szCs w:val="28"/>
        </w:rPr>
        <w:t>气田伴生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CO</w:t>
      </w:r>
      <w:r>
        <w:rPr>
          <w:rFonts w:ascii="Cambria Math" w:hAnsi="Cambria Math" w:eastAsia="Cambria Math" w:cs="Cambria Math"/>
          <w:spacing w:val="-4"/>
          <w:sz w:val="28"/>
          <w:szCs w:val="28"/>
        </w:rPr>
        <w:t xml:space="preserve">₂ </w:t>
      </w:r>
      <w:r>
        <w:rPr>
          <w:rFonts w:ascii="仿宋" w:hAnsi="仿宋" w:eastAsia="仿宋" w:cs="仿宋"/>
          <w:spacing w:val="-4"/>
          <w:sz w:val="28"/>
          <w:szCs w:val="28"/>
        </w:rPr>
        <w:t>回注与资源化利用、天然气联合循环烟气碳捕集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NGCC、</w:t>
      </w:r>
      <w:r>
        <w:rPr>
          <w:rFonts w:ascii="仿宋" w:hAnsi="仿宋" w:eastAsia="仿宋" w:cs="仿宋"/>
          <w:spacing w:val="-2"/>
          <w:sz w:val="28"/>
          <w:szCs w:val="28"/>
        </w:rPr>
        <w:t>煤化工过程碳捕集、煤油气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CCUS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全链条经济性与安全性评估等）</w:t>
      </w:r>
    </w:p>
    <w:p w14:paraId="0F67064C">
      <w:pPr>
        <w:spacing w:before="1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4.煤化工、炼化、天然气利用等场景的碳排放核算与减排路径</w:t>
      </w:r>
    </w:p>
    <w:p w14:paraId="3C65CBC7">
      <w:pPr>
        <w:spacing w:before="295" w:line="412" w:lineRule="auto"/>
        <w:ind w:left="32" w:right="1404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5.清洁化石燃料技术的经济性、安全性和工程适配性评估</w:t>
      </w:r>
      <w:r>
        <w:rPr>
          <w:rFonts w:ascii="仿宋" w:hAnsi="仿宋" w:eastAsia="仿宋" w:cs="仿宋"/>
          <w:spacing w:val="-4"/>
          <w:sz w:val="28"/>
          <w:szCs w:val="28"/>
        </w:rPr>
        <w:t>请注意：“燃煤电厂烟气碳捕集”作品请投赛道4.2。</w:t>
      </w:r>
    </w:p>
    <w:p w14:paraId="48B81905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7" w:type="default"/>
          <w:pgSz w:w="11907" w:h="16839"/>
          <w:pgMar w:top="1431" w:right="1704" w:bottom="1198" w:left="1785" w:header="0" w:footer="967" w:gutter="0"/>
          <w:cols w:space="720" w:num="1"/>
        </w:sectPr>
      </w:pPr>
    </w:p>
    <w:p w14:paraId="79C9831B">
      <w:pPr>
        <w:spacing w:before="180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" w:name="bookmark3"/>
      <w:bookmarkEnd w:id="2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1.2：可再生能源与核能</w:t>
      </w:r>
    </w:p>
    <w:p w14:paraId="298FB41B">
      <w:pPr>
        <w:spacing w:line="279" w:lineRule="auto"/>
        <w:rPr>
          <w:rFonts w:ascii="Arial"/>
          <w:sz w:val="21"/>
        </w:rPr>
      </w:pPr>
    </w:p>
    <w:p w14:paraId="5424786A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331DE6F1">
      <w:pPr>
        <w:spacing w:before="288" w:line="412" w:lineRule="auto"/>
        <w:ind w:left="35" w:firstLine="42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可再生能源和先进核能是构建清洁低碳、安全高效能</w:t>
      </w:r>
      <w:r>
        <w:rPr>
          <w:rFonts w:ascii="仿宋" w:hAnsi="仿宋" w:eastAsia="仿宋" w:cs="仿宋"/>
          <w:sz w:val="28"/>
          <w:szCs w:val="28"/>
        </w:rPr>
        <w:t>源体系的核</w:t>
      </w:r>
      <w:r>
        <w:rPr>
          <w:rFonts w:ascii="仿宋" w:hAnsi="仿宋" w:eastAsia="仿宋" w:cs="仿宋"/>
          <w:spacing w:val="-4"/>
          <w:sz w:val="28"/>
          <w:szCs w:val="28"/>
        </w:rPr>
        <w:t>心支撑。随着风电、光伏等新能源装机快速增长，资源波动性、消纳</w:t>
      </w:r>
      <w:r>
        <w:rPr>
          <w:rFonts w:ascii="仿宋" w:hAnsi="仿宋" w:eastAsia="仿宋" w:cs="仿宋"/>
          <w:spacing w:val="-3"/>
          <w:sz w:val="28"/>
          <w:szCs w:val="28"/>
        </w:rPr>
        <w:t>能力、设备可靠性和系统协同成为关键问题；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同时，水能、地热能、</w:t>
      </w:r>
      <w:r>
        <w:rPr>
          <w:rFonts w:ascii="仿宋" w:hAnsi="仿宋" w:eastAsia="仿宋" w:cs="仿宋"/>
          <w:spacing w:val="-4"/>
          <w:sz w:val="28"/>
          <w:szCs w:val="28"/>
        </w:rPr>
        <w:t>生物质能、海洋能、先进核能等也需要在安全、经济和场景适配方面持续突破。</w:t>
      </w:r>
    </w:p>
    <w:p w14:paraId="76BB86F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3AFC723B">
      <w:pPr>
        <w:spacing w:before="293" w:line="217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1.风电、光伏、水能、地热、生物质、海洋能等资源开发与高效利用</w:t>
      </w:r>
    </w:p>
    <w:p w14:paraId="6C220D6F">
      <w:pPr>
        <w:spacing w:before="295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2.先进核能、小型模块化反应堆及核能综合利用技术</w:t>
      </w:r>
    </w:p>
    <w:p w14:paraId="4D153129">
      <w:pPr>
        <w:spacing w:before="296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3.可再生能源装备材料、运维监测和全生命周期低碳设计</w:t>
      </w:r>
    </w:p>
    <w:p w14:paraId="794288EC">
      <w:pPr>
        <w:spacing w:before="297" w:line="413" w:lineRule="auto"/>
        <w:ind w:left="32" w:right="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请注意：有关“新能源发电预测、并网消纳与多能互补</w:t>
      </w:r>
      <w:r>
        <w:rPr>
          <w:rFonts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”的作品，请投赛题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2.1。</w:t>
      </w:r>
    </w:p>
    <w:p w14:paraId="27449F94">
      <w:pPr>
        <w:spacing w:line="413" w:lineRule="auto"/>
        <w:rPr>
          <w:rFonts w:ascii="仿宋" w:hAnsi="仿宋" w:eastAsia="仿宋" w:cs="仿宋"/>
          <w:sz w:val="28"/>
          <w:szCs w:val="28"/>
        </w:rPr>
        <w:sectPr>
          <w:footerReference r:id="rId8" w:type="default"/>
          <w:pgSz w:w="11907" w:h="16839"/>
          <w:pgMar w:top="1431" w:right="1699" w:bottom="1198" w:left="1785" w:header="0" w:footer="966" w:gutter="0"/>
          <w:cols w:space="720" w:num="1"/>
        </w:sectPr>
      </w:pPr>
    </w:p>
    <w:p w14:paraId="5087AA85">
      <w:pPr>
        <w:spacing w:before="16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3" w:name="bookmark4"/>
      <w:bookmarkEnd w:id="3"/>
      <w:r>
        <w:rPr>
          <w:rFonts w:ascii="黑体" w:hAnsi="黑体" w:eastAsia="黑体" w:cs="黑体"/>
          <w:spacing w:val="8"/>
          <w:sz w:val="31"/>
          <w:szCs w:val="31"/>
        </w:rPr>
        <w:t>赛道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Arial" w:hAnsi="Arial" w:eastAsia="Arial" w:cs="Arial"/>
          <w:spacing w:val="8"/>
          <w:sz w:val="31"/>
          <w:szCs w:val="31"/>
        </w:rPr>
        <w:t>2</w:t>
      </w:r>
      <w:r>
        <w:rPr>
          <w:rFonts w:ascii="黑体" w:hAnsi="黑体" w:eastAsia="黑体" w:cs="黑体"/>
          <w:spacing w:val="8"/>
          <w:sz w:val="31"/>
          <w:szCs w:val="31"/>
        </w:rPr>
        <w:t>：新型电力系统、储能与氢能</w:t>
      </w:r>
    </w:p>
    <w:p w14:paraId="77D88837">
      <w:pPr>
        <w:spacing w:line="312" w:lineRule="auto"/>
        <w:rPr>
          <w:rFonts w:ascii="Arial"/>
          <w:sz w:val="21"/>
        </w:rPr>
      </w:pPr>
    </w:p>
    <w:p w14:paraId="5D13569E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4" w:name="bookmark5"/>
      <w:bookmarkEnd w:id="4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2.1：新型电力系统</w:t>
      </w:r>
    </w:p>
    <w:p w14:paraId="197257A8">
      <w:pPr>
        <w:spacing w:line="278" w:lineRule="auto"/>
        <w:rPr>
          <w:rFonts w:ascii="Arial"/>
          <w:sz w:val="21"/>
        </w:rPr>
      </w:pPr>
    </w:p>
    <w:p w14:paraId="0420E666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3CFD207C">
      <w:pPr>
        <w:spacing w:before="289" w:line="412" w:lineRule="auto"/>
        <w:ind w:left="32" w:right="94" w:firstLine="5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高比例新能源接入使电力系统从传统集中式供电向源网荷储互</w:t>
      </w:r>
      <w:r>
        <w:rPr>
          <w:rFonts w:ascii="仿宋" w:hAnsi="仿宋" w:eastAsia="仿宋" w:cs="仿宋"/>
          <w:spacing w:val="-14"/>
          <w:sz w:val="28"/>
          <w:szCs w:val="28"/>
        </w:rPr>
        <w:t>动转变，对灵活调节、预测控制、实时调度和市场机制提出更高要求。</w:t>
      </w:r>
      <w:r>
        <w:rPr>
          <w:rFonts w:ascii="仿宋" w:hAnsi="仿宋" w:eastAsia="仿宋" w:cs="仿宋"/>
          <w:spacing w:val="-4"/>
          <w:sz w:val="28"/>
          <w:szCs w:val="28"/>
        </w:rPr>
        <w:t>新型电力系统需要通过智能电网、微电网、虚拟电厂和需求响应等手</w:t>
      </w:r>
      <w:r>
        <w:rPr>
          <w:rFonts w:ascii="仿宋" w:hAnsi="仿宋" w:eastAsia="仿宋" w:cs="仿宋"/>
          <w:spacing w:val="-1"/>
          <w:sz w:val="28"/>
          <w:szCs w:val="28"/>
        </w:rPr>
        <w:t>段提升新能源消纳能力与供电安全水平。</w:t>
      </w:r>
    </w:p>
    <w:p w14:paraId="54139F38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ED444A9">
      <w:pPr>
        <w:spacing w:before="292" w:line="412" w:lineRule="auto"/>
        <w:ind w:left="392" w:hanging="3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1.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新型电力系统平衡（源网荷储协同互动、新型平衡技术、灵活调度、</w:t>
      </w:r>
      <w:r>
        <w:rPr>
          <w:rFonts w:ascii="仿宋" w:hAnsi="仿宋" w:eastAsia="仿宋" w:cs="仿宋"/>
          <w:spacing w:val="-4"/>
          <w:sz w:val="28"/>
          <w:szCs w:val="28"/>
        </w:rPr>
        <w:t>新能源消纳等）</w:t>
      </w:r>
    </w:p>
    <w:p w14:paraId="4A259C72">
      <w:pPr>
        <w:spacing w:before="2" w:line="411" w:lineRule="auto"/>
        <w:ind w:left="396" w:right="91" w:hanging="3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2.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新型电力系统安全、稳定与韧性（新型电力系统稳定分析、智能电网状态感知、故障诊断、预测控制与安全防护、极端气候应对与韧</w:t>
      </w:r>
      <w:r>
        <w:rPr>
          <w:rFonts w:ascii="仿宋" w:hAnsi="仿宋" w:eastAsia="仿宋" w:cs="仿宋"/>
          <w:spacing w:val="-5"/>
          <w:sz w:val="28"/>
          <w:szCs w:val="28"/>
        </w:rPr>
        <w:t>性电网规划等）</w:t>
      </w:r>
    </w:p>
    <w:p w14:paraId="38212BBF">
      <w:pPr>
        <w:spacing w:before="1" w:line="21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3. 区域能源自治（微电网、能源互联网等）</w:t>
      </w:r>
    </w:p>
    <w:p w14:paraId="2ADAE845">
      <w:pPr>
        <w:spacing w:before="293" w:line="412" w:lineRule="auto"/>
        <w:ind w:left="392" w:right="93" w:hanging="3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4.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灵活负荷参与和分布式资源聚合（需求响应、负荷侧资源管理、虚</w:t>
      </w:r>
      <w:r>
        <w:rPr>
          <w:rFonts w:ascii="仿宋" w:hAnsi="仿宋" w:eastAsia="仿宋" w:cs="仿宋"/>
          <w:spacing w:val="-2"/>
          <w:sz w:val="28"/>
          <w:szCs w:val="28"/>
        </w:rPr>
        <w:t>拟电厂、电力市场机制设计等）</w:t>
      </w:r>
    </w:p>
    <w:p w14:paraId="0629605A">
      <w:pPr>
        <w:spacing w:before="1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5.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关键电力器件装备（如换流变压器、换流阀）开发与绿色</w:t>
      </w:r>
      <w:r>
        <w:rPr>
          <w:rFonts w:ascii="仿宋" w:hAnsi="仿宋" w:eastAsia="仿宋" w:cs="仿宋"/>
          <w:spacing w:val="-3"/>
          <w:sz w:val="28"/>
          <w:szCs w:val="28"/>
        </w:rPr>
        <w:t>替代</w:t>
      </w:r>
    </w:p>
    <w:p w14:paraId="736D3C9E">
      <w:pPr>
        <w:spacing w:before="291" w:line="219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6.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沙戈荒基地建设、绿电直连等创新政策与实践</w:t>
      </w:r>
    </w:p>
    <w:p w14:paraId="751102DC">
      <w:pPr>
        <w:spacing w:before="294" w:line="216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7.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新型电力系统碳排放核算、可靠性与经济性综合评估</w:t>
      </w:r>
    </w:p>
    <w:p w14:paraId="143264DA">
      <w:pPr>
        <w:spacing w:before="295" w:line="412" w:lineRule="auto"/>
        <w:ind w:left="33" w:right="9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请注意：有关零碳园区的作品请投赛道 7.3。涉及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AI 与数字孪生的</w:t>
      </w:r>
      <w:r>
        <w:rPr>
          <w:rFonts w:ascii="仿宋" w:hAnsi="仿宋" w:eastAsia="仿宋" w:cs="仿宋"/>
          <w:spacing w:val="-7"/>
          <w:sz w:val="28"/>
          <w:szCs w:val="28"/>
        </w:rPr>
        <w:t>通用算法、技术方法、平台的作品，请投赛道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10“数字智能赋能碳中和”，本赛道侧重行业应用场景的适配验证与行业知识问题。</w:t>
      </w:r>
    </w:p>
    <w:p w14:paraId="115753F7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9" w:type="default"/>
          <w:pgSz w:w="11907" w:h="16839"/>
          <w:pgMar w:top="1431" w:right="1704" w:bottom="1198" w:left="1785" w:header="0" w:footer="967" w:gutter="0"/>
          <w:cols w:space="720" w:num="1"/>
        </w:sectPr>
      </w:pPr>
    </w:p>
    <w:p w14:paraId="51C108FC">
      <w:pPr>
        <w:spacing w:before="180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5" w:name="bookmark6"/>
      <w:bookmarkEnd w:id="5"/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赛题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2.2：储能技术</w:t>
      </w:r>
    </w:p>
    <w:p w14:paraId="344D351E">
      <w:pPr>
        <w:spacing w:line="279" w:lineRule="auto"/>
        <w:rPr>
          <w:rFonts w:ascii="Arial"/>
          <w:sz w:val="21"/>
        </w:rPr>
      </w:pPr>
    </w:p>
    <w:p w14:paraId="2C26C0C8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407B279B">
      <w:pPr>
        <w:spacing w:before="296" w:line="411" w:lineRule="auto"/>
        <w:ind w:left="33" w:right="7" w:firstLine="56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储能技术是提升电力系统调节能力、促进新能源消纳、保障能源安全的核心支撑。随着可再生能源装机规模持续扩大，该技术在电网侧、电源侧、用户侧等场景应用前景广阔。不同储能技术路线在能量密度、功率响应、寿命、安全性、成本和适用场景上差异明显，需要面向电网侧、电源侧、用户侧开展系统设计，解决安全、效率、经济</w:t>
      </w:r>
      <w:r>
        <w:rPr>
          <w:rFonts w:ascii="仿宋" w:hAnsi="仿宋" w:eastAsia="仿宋" w:cs="仿宋"/>
          <w:spacing w:val="-3"/>
          <w:sz w:val="28"/>
          <w:szCs w:val="28"/>
        </w:rPr>
        <w:t>性等关键瓶颈。</w:t>
      </w:r>
    </w:p>
    <w:p w14:paraId="296CA63E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63D106B">
      <w:pPr>
        <w:spacing w:before="292" w:line="412" w:lineRule="auto"/>
        <w:ind w:left="398" w:right="12" w:hanging="3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1.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超短时储能（飞轮储能、超级电容、电磁储能）的材料</w:t>
      </w:r>
      <w:r>
        <w:rPr>
          <w:rFonts w:ascii="仿宋" w:hAnsi="仿宋" w:eastAsia="仿宋" w:cs="仿宋"/>
          <w:spacing w:val="-8"/>
          <w:sz w:val="28"/>
          <w:szCs w:val="28"/>
        </w:rPr>
        <w:t>、技术、系</w:t>
      </w:r>
      <w:r>
        <w:rPr>
          <w:rFonts w:ascii="仿宋" w:hAnsi="仿宋" w:eastAsia="仿宋" w:cs="仿宋"/>
          <w:spacing w:val="-4"/>
          <w:sz w:val="28"/>
          <w:szCs w:val="28"/>
        </w:rPr>
        <w:t>统控制与热管理</w:t>
      </w:r>
    </w:p>
    <w:p w14:paraId="496A5A47">
      <w:pPr>
        <w:spacing w:before="1" w:line="411" w:lineRule="auto"/>
        <w:ind w:left="393" w:right="9" w:hanging="3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2.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短时储能（锂离子电池、钠离子电池、固态电池、液流电池）等电</w:t>
      </w:r>
      <w:r>
        <w:rPr>
          <w:rFonts w:ascii="仿宋" w:hAnsi="仿宋" w:eastAsia="仿宋" w:cs="仿宋"/>
          <w:spacing w:val="-2"/>
          <w:sz w:val="28"/>
          <w:szCs w:val="28"/>
        </w:rPr>
        <w:t>化学储能材料、系统安全与寿命预测</w:t>
      </w:r>
    </w:p>
    <w:p w14:paraId="4F12B21F">
      <w:pPr>
        <w:spacing w:before="2" w:line="411" w:lineRule="auto"/>
        <w:ind w:left="402" w:right="55" w:hanging="3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长时储能（抽水蓄能、压缩空气储能、重力储能）的材料、技术、</w:t>
      </w:r>
      <w:r>
        <w:rPr>
          <w:rFonts w:ascii="仿宋" w:hAnsi="仿宋" w:eastAsia="仿宋" w:cs="仿宋"/>
          <w:spacing w:val="-4"/>
          <w:sz w:val="28"/>
          <w:szCs w:val="28"/>
        </w:rPr>
        <w:t>系统安全与工程应用</w:t>
      </w:r>
    </w:p>
    <w:p w14:paraId="516E0462">
      <w:pPr>
        <w:spacing w:before="1"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储能系统回收与梯次利用</w:t>
      </w:r>
    </w:p>
    <w:p w14:paraId="13742040">
      <w:pPr>
        <w:spacing w:before="293" w:line="412" w:lineRule="auto"/>
        <w:ind w:left="32" w:right="1241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5.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多类型储能容量配置、调度策略和全生命周期成本评估请注意：储热技术请投赛道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5.2。</w:t>
      </w:r>
    </w:p>
    <w:p w14:paraId="4DC3C55B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10" w:type="default"/>
          <w:pgSz w:w="11907" w:h="16839"/>
          <w:pgMar w:top="1431" w:right="1785" w:bottom="1198" w:left="1785" w:header="0" w:footer="967" w:gutter="0"/>
          <w:cols w:space="720" w:num="1"/>
        </w:sectPr>
      </w:pPr>
    </w:p>
    <w:p w14:paraId="1AD7990A">
      <w:pPr>
        <w:spacing w:before="181" w:line="216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6" w:name="bookmark7"/>
      <w:bookmarkEnd w:id="6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2.3：氢能与氢基燃料</w:t>
      </w:r>
    </w:p>
    <w:p w14:paraId="75CAC3CF">
      <w:pPr>
        <w:spacing w:line="281" w:lineRule="auto"/>
        <w:rPr>
          <w:rFonts w:ascii="Arial"/>
          <w:sz w:val="21"/>
        </w:rPr>
      </w:pPr>
    </w:p>
    <w:p w14:paraId="4856ABC7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622FC9BE">
      <w:pPr>
        <w:spacing w:before="292" w:line="411" w:lineRule="auto"/>
        <w:ind w:left="33" w:firstLine="56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氢能兼具能源载体、工业原料和储能介质属性，是</w:t>
      </w:r>
      <w:r>
        <w:rPr>
          <w:rFonts w:ascii="仿宋" w:hAnsi="仿宋" w:eastAsia="仿宋" w:cs="仿宋"/>
          <w:spacing w:val="-5"/>
          <w:sz w:val="28"/>
          <w:szCs w:val="28"/>
        </w:rPr>
        <w:t>难减排行业深</w:t>
      </w:r>
      <w:r>
        <w:rPr>
          <w:rFonts w:ascii="仿宋" w:hAnsi="仿宋" w:eastAsia="仿宋" w:cs="仿宋"/>
          <w:spacing w:val="-1"/>
          <w:sz w:val="28"/>
          <w:szCs w:val="28"/>
        </w:rPr>
        <w:t>度脱碳的重要路径。当前绿氢制备成本、储运安全、燃料电池寿命、</w:t>
      </w:r>
      <w:r>
        <w:rPr>
          <w:rFonts w:ascii="仿宋" w:hAnsi="仿宋" w:eastAsia="仿宋" w:cs="仿宋"/>
          <w:spacing w:val="-5"/>
          <w:sz w:val="28"/>
          <w:szCs w:val="28"/>
        </w:rPr>
        <w:t>氢基燃料转化效率、基础设施配套等仍是制约规模化应用的关键问题。</w:t>
      </w:r>
    </w:p>
    <w:p w14:paraId="4FC4D91E">
      <w:pPr>
        <w:spacing w:before="1" w:line="218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59E90CCC">
      <w:pPr>
        <w:spacing w:before="295" w:line="216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1.可再生能源制绿氢、电解槽材料和系统效率提升</w:t>
      </w:r>
    </w:p>
    <w:p w14:paraId="396EC504">
      <w:pPr>
        <w:spacing w:before="296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2.高压、液态、固态、有机液体等储氢与输氢材料与技术</w:t>
      </w:r>
    </w:p>
    <w:p w14:paraId="0E2B4A86">
      <w:pPr>
        <w:spacing w:before="296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3.氢燃料电池关键材料、寿命提升和系统集成</w:t>
      </w:r>
    </w:p>
    <w:p w14:paraId="6320D731">
      <w:pPr>
        <w:spacing w:before="297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4.氨、甲醇、合成燃料等氢基燃料制备与储运</w:t>
      </w:r>
    </w:p>
    <w:p w14:paraId="0E37B8FE">
      <w:pPr>
        <w:spacing w:before="296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5.氢能全链条安全管理、碳排放核算和经济性评估</w:t>
      </w:r>
    </w:p>
    <w:p w14:paraId="3C759097">
      <w:pPr>
        <w:spacing w:before="298" w:line="411" w:lineRule="auto"/>
        <w:ind w:left="39" w:right="158" w:hanging="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请注意：氢基燃料的发电应用（如燃气轮机、锅炉）请投赛道 1.2，</w:t>
      </w:r>
      <w:r>
        <w:rPr>
          <w:rFonts w:ascii="仿宋" w:hAnsi="仿宋" w:eastAsia="仿宋" w:cs="仿宋"/>
          <w:spacing w:val="-15"/>
          <w:sz w:val="28"/>
          <w:szCs w:val="28"/>
        </w:rPr>
        <w:t>氢能作为工业原料（如氢冶金、绿氢替代灰氢、合成氨）请投赛道</w:t>
      </w:r>
      <w:r>
        <w:rPr>
          <w:rFonts w:ascii="仿宋" w:hAnsi="仿宋" w:eastAsia="仿宋" w:cs="仿宋"/>
          <w:spacing w:val="-16"/>
          <w:sz w:val="28"/>
          <w:szCs w:val="28"/>
        </w:rPr>
        <w:t>4.1，</w:t>
      </w:r>
      <w:r>
        <w:rPr>
          <w:rFonts w:ascii="仿宋" w:hAnsi="仿宋" w:eastAsia="仿宋" w:cs="仿宋"/>
          <w:spacing w:val="-8"/>
          <w:sz w:val="28"/>
          <w:szCs w:val="28"/>
        </w:rPr>
        <w:t>氢基燃料的交通应用（如燃料电池车、船舶、航空）</w:t>
      </w:r>
      <w:r>
        <w:rPr>
          <w:rFonts w:ascii="仿宋" w:hAnsi="仿宋" w:eastAsia="仿宋" w:cs="仿宋"/>
          <w:spacing w:val="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请投赛道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6。</w:t>
      </w:r>
    </w:p>
    <w:p w14:paraId="17A06587">
      <w:pPr>
        <w:spacing w:line="411" w:lineRule="auto"/>
        <w:rPr>
          <w:rFonts w:ascii="仿宋" w:hAnsi="仿宋" w:eastAsia="仿宋" w:cs="仿宋"/>
          <w:sz w:val="28"/>
          <w:szCs w:val="28"/>
        </w:rPr>
        <w:sectPr>
          <w:footerReference r:id="rId11" w:type="default"/>
          <w:pgSz w:w="11907" w:h="16839"/>
          <w:pgMar w:top="1431" w:right="1556" w:bottom="1198" w:left="1785" w:header="0" w:footer="967" w:gutter="0"/>
          <w:cols w:space="720" w:num="1"/>
        </w:sectPr>
      </w:pPr>
    </w:p>
    <w:p w14:paraId="5DEFD6FD">
      <w:pPr>
        <w:spacing w:before="16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7" w:name="bookmark8"/>
      <w:bookmarkEnd w:id="7"/>
      <w:r>
        <w:rPr>
          <w:rFonts w:ascii="黑体" w:hAnsi="黑体" w:eastAsia="黑体" w:cs="黑体"/>
          <w:spacing w:val="5"/>
          <w:sz w:val="31"/>
          <w:szCs w:val="31"/>
        </w:rPr>
        <w:t>赛道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3</w:t>
      </w:r>
      <w:r>
        <w:rPr>
          <w:rFonts w:ascii="黑体" w:hAnsi="黑体" w:eastAsia="黑体" w:cs="黑体"/>
          <w:spacing w:val="5"/>
          <w:sz w:val="31"/>
          <w:szCs w:val="31"/>
        </w:rPr>
        <w:t>：低碳农林业与自然碳汇</w:t>
      </w:r>
    </w:p>
    <w:p w14:paraId="0773C522">
      <w:pPr>
        <w:spacing w:line="313" w:lineRule="auto"/>
        <w:rPr>
          <w:rFonts w:ascii="Arial"/>
          <w:sz w:val="21"/>
        </w:rPr>
      </w:pPr>
    </w:p>
    <w:p w14:paraId="6B7603CE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8" w:name="bookmark9"/>
      <w:bookmarkEnd w:id="8"/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赛题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3.1：低碳农业</w:t>
      </w:r>
    </w:p>
    <w:p w14:paraId="630983D3">
      <w:pPr>
        <w:spacing w:line="277" w:lineRule="auto"/>
        <w:rPr>
          <w:rFonts w:ascii="Arial"/>
          <w:sz w:val="21"/>
        </w:rPr>
      </w:pPr>
    </w:p>
    <w:p w14:paraId="6252997A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7C1CDF56">
      <w:pPr>
        <w:spacing w:before="289" w:line="412" w:lineRule="auto"/>
        <w:ind w:left="29" w:firstLine="56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农业既是温室气体排放源，也是固碳增汇的重要领域。种植业、</w:t>
      </w:r>
      <w:r>
        <w:rPr>
          <w:rFonts w:ascii="仿宋" w:hAnsi="仿宋" w:eastAsia="仿宋" w:cs="仿宋"/>
          <w:spacing w:val="-4"/>
          <w:sz w:val="28"/>
          <w:szCs w:val="28"/>
        </w:rPr>
        <w:t>养殖业、农机作业、水土资源利用、农业废弃物处理等环节均存在减排潜力，需要在保障粮食安全和农产品供给的基础上推进绿色低碳转</w:t>
      </w:r>
      <w:r>
        <w:rPr>
          <w:rFonts w:ascii="仿宋" w:hAnsi="仿宋" w:eastAsia="仿宋" w:cs="仿宋"/>
          <w:spacing w:val="-13"/>
          <w:sz w:val="28"/>
          <w:szCs w:val="28"/>
        </w:rPr>
        <w:t>型。</w:t>
      </w:r>
    </w:p>
    <w:p w14:paraId="7C0451BF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355629E2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1.化肥农药减量增效、节水灌溉和农业水</w:t>
      </w:r>
      <w:r>
        <w:rPr>
          <w:rFonts w:ascii="仿宋" w:hAnsi="仿宋" w:eastAsia="仿宋" w:cs="仿宋"/>
          <w:spacing w:val="-2"/>
          <w:sz w:val="28"/>
          <w:szCs w:val="28"/>
        </w:rPr>
        <w:t>土资源高效利用</w:t>
      </w:r>
    </w:p>
    <w:p w14:paraId="4F287AAE">
      <w:pPr>
        <w:spacing w:before="294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2.稻田甲烷减排、农田固碳扩容、畜禽养殖减排以及影响评估</w:t>
      </w:r>
    </w:p>
    <w:p w14:paraId="54D8D5FE">
      <w:pPr>
        <w:spacing w:before="297" w:line="219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3.农产品低碳生产、加工、储运和供应链减损增效</w:t>
      </w:r>
    </w:p>
    <w:p w14:paraId="40601795">
      <w:pPr>
        <w:spacing w:before="291" w:line="218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4.农机节能减排、电动农机和农业信息化技术</w:t>
      </w:r>
    </w:p>
    <w:p w14:paraId="04EF21A4">
      <w:pPr>
        <w:spacing w:before="294" w:line="21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5. 生物质种植、收集及供应链、有机废弃物循环利用与碳核算</w:t>
      </w:r>
    </w:p>
    <w:p w14:paraId="6562BAB8">
      <w:pPr>
        <w:spacing w:line="217" w:lineRule="auto"/>
        <w:rPr>
          <w:rFonts w:ascii="仿宋" w:hAnsi="仿宋" w:eastAsia="仿宋" w:cs="仿宋"/>
          <w:sz w:val="28"/>
          <w:szCs w:val="28"/>
        </w:rPr>
        <w:sectPr>
          <w:footerReference r:id="rId12" w:type="default"/>
          <w:pgSz w:w="11907" w:h="16839"/>
          <w:pgMar w:top="1431" w:right="1705" w:bottom="1198" w:left="1785" w:header="0" w:footer="967" w:gutter="0"/>
          <w:cols w:space="720" w:num="1"/>
        </w:sectPr>
      </w:pPr>
    </w:p>
    <w:p w14:paraId="6186B4A6">
      <w:pPr>
        <w:spacing w:line="253" w:lineRule="auto"/>
        <w:rPr>
          <w:rFonts w:ascii="Arial"/>
          <w:sz w:val="21"/>
        </w:rPr>
      </w:pPr>
    </w:p>
    <w:p w14:paraId="0DDC951F">
      <w:pPr>
        <w:spacing w:before="91" w:line="219" w:lineRule="auto"/>
        <w:ind w:left="45"/>
        <w:outlineLvl w:val="1"/>
        <w:rPr>
          <w:rFonts w:ascii="仿宋" w:hAnsi="仿宋" w:eastAsia="仿宋" w:cs="仿宋"/>
          <w:sz w:val="28"/>
          <w:szCs w:val="28"/>
        </w:rPr>
      </w:pPr>
      <w:bookmarkStart w:id="9" w:name="bookmark10"/>
      <w:bookmarkEnd w:id="9"/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14444914">
      <w:pPr>
        <w:spacing w:before="289" w:line="412" w:lineRule="auto"/>
        <w:ind w:left="33" w:right="14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林业在固碳增汇、生物多样性保护和生态产品供给中具有基</w:t>
      </w:r>
      <w:r>
        <w:rPr>
          <w:rFonts w:ascii="仿宋" w:hAnsi="仿宋" w:eastAsia="仿宋" w:cs="仿宋"/>
          <w:spacing w:val="-5"/>
          <w:sz w:val="28"/>
          <w:szCs w:val="28"/>
        </w:rPr>
        <w:t>础作</w:t>
      </w:r>
      <w:r>
        <w:rPr>
          <w:rFonts w:ascii="仿宋" w:hAnsi="仿宋" w:eastAsia="仿宋" w:cs="仿宋"/>
          <w:spacing w:val="-4"/>
          <w:sz w:val="28"/>
          <w:szCs w:val="28"/>
        </w:rPr>
        <w:t>用。低碳林业需要兼顾森林经营质量、碳汇能力、林产品利用和灾害风险控制，通过科学经营和数字化监测提升森林生态系统长期碳汇稳</w:t>
      </w:r>
      <w:r>
        <w:rPr>
          <w:rFonts w:ascii="仿宋" w:hAnsi="仿宋" w:eastAsia="仿宋" w:cs="仿宋"/>
          <w:spacing w:val="-12"/>
          <w:sz w:val="28"/>
          <w:szCs w:val="28"/>
        </w:rPr>
        <w:t>定性。</w:t>
      </w:r>
    </w:p>
    <w:p w14:paraId="593332C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74F8F103">
      <w:pPr>
        <w:spacing w:before="292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1.森林经营、退化林修复、人工林质量提</w:t>
      </w:r>
      <w:r>
        <w:rPr>
          <w:rFonts w:ascii="仿宋" w:hAnsi="仿宋" w:eastAsia="仿宋" w:cs="仿宋"/>
          <w:spacing w:val="-2"/>
          <w:sz w:val="28"/>
          <w:szCs w:val="28"/>
        </w:rPr>
        <w:t>升和碳汇增强</w:t>
      </w:r>
    </w:p>
    <w:p w14:paraId="5B2E8912">
      <w:pPr>
        <w:spacing w:before="293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2.林业碳汇计量监测、遥感反演和碳储量评估</w:t>
      </w:r>
    </w:p>
    <w:p w14:paraId="21DBF962">
      <w:pPr>
        <w:spacing w:before="296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3.木竹材等林产品低碳加工、长期储碳和循环利用</w:t>
      </w:r>
    </w:p>
    <w:p w14:paraId="4502A2CB">
      <w:pPr>
        <w:spacing w:before="294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4.森林火灾、病虫害、极端气候风险对碳汇的影响评估</w:t>
      </w:r>
    </w:p>
    <w:p w14:paraId="3D582C31">
      <w:pPr>
        <w:spacing w:before="296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5.林业碳汇项目开发、生态补偿和收益分配机制</w:t>
      </w:r>
    </w:p>
    <w:p w14:paraId="6556D90D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headerReference r:id="rId13" w:type="default"/>
          <w:footerReference r:id="rId14" w:type="default"/>
          <w:pgSz w:w="11907" w:h="16839"/>
          <w:pgMar w:top="1968" w:right="1785" w:bottom="1198" w:left="1785" w:header="1536" w:footer="967" w:gutter="0"/>
          <w:cols w:space="720" w:num="1"/>
        </w:sectPr>
      </w:pPr>
    </w:p>
    <w:p w14:paraId="304AB274">
      <w:pPr>
        <w:spacing w:line="278" w:lineRule="auto"/>
        <w:rPr>
          <w:rFonts w:ascii="Arial"/>
          <w:sz w:val="21"/>
        </w:rPr>
      </w:pPr>
    </w:p>
    <w:p w14:paraId="3289490F">
      <w:pPr>
        <w:spacing w:line="278" w:lineRule="auto"/>
        <w:rPr>
          <w:rFonts w:ascii="Arial"/>
          <w:sz w:val="21"/>
        </w:rPr>
      </w:pPr>
    </w:p>
    <w:p w14:paraId="6B56AD11">
      <w:pPr>
        <w:spacing w:line="279" w:lineRule="auto"/>
        <w:rPr>
          <w:rFonts w:ascii="Arial"/>
          <w:sz w:val="21"/>
        </w:rPr>
      </w:pPr>
    </w:p>
    <w:p w14:paraId="45918290">
      <w:pPr>
        <w:spacing w:line="279" w:lineRule="auto"/>
        <w:rPr>
          <w:rFonts w:ascii="Arial"/>
          <w:sz w:val="21"/>
        </w:rPr>
      </w:pPr>
    </w:p>
    <w:p w14:paraId="550A1026">
      <w:pPr>
        <w:spacing w:before="91" w:line="217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0" w:name="bookmark11"/>
      <w:bookmarkEnd w:id="10"/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赛题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3.3：湿地/草原/海洋碳汇</w:t>
      </w:r>
    </w:p>
    <w:p w14:paraId="0667DD5C">
      <w:pPr>
        <w:spacing w:line="280" w:lineRule="auto"/>
        <w:rPr>
          <w:rFonts w:ascii="Arial"/>
          <w:sz w:val="21"/>
        </w:rPr>
      </w:pPr>
    </w:p>
    <w:p w14:paraId="273AC0A7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6D6A112F">
      <w:pPr>
        <w:spacing w:before="295" w:line="411" w:lineRule="auto"/>
        <w:ind w:left="29" w:right="13" w:firstLine="56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湿地、草原、海洋等自然生态系统是重要碳库，对实</w:t>
      </w:r>
      <w:r>
        <w:rPr>
          <w:rFonts w:ascii="仿宋" w:hAnsi="仿宋" w:eastAsia="仿宋" w:cs="仿宋"/>
          <w:spacing w:val="-5"/>
          <w:sz w:val="28"/>
          <w:szCs w:val="28"/>
        </w:rPr>
        <w:t>现碳中和具</w:t>
      </w:r>
      <w:r>
        <w:rPr>
          <w:rFonts w:ascii="仿宋" w:hAnsi="仿宋" w:eastAsia="仿宋" w:cs="仿宋"/>
          <w:spacing w:val="-4"/>
          <w:sz w:val="28"/>
          <w:szCs w:val="28"/>
        </w:rPr>
        <w:t>有不可替代的支撑作用。自然碳汇受土地利用变化、生态退化、气候变化、人为活动等影响较大，需要提升监测精度、保护修复能力和长</w:t>
      </w:r>
      <w:r>
        <w:rPr>
          <w:rFonts w:ascii="仿宋" w:hAnsi="仿宋" w:eastAsia="仿宋" w:cs="仿宋"/>
          <w:spacing w:val="-3"/>
          <w:sz w:val="28"/>
          <w:szCs w:val="28"/>
        </w:rPr>
        <w:t>期稳定性。</w:t>
      </w:r>
    </w:p>
    <w:p w14:paraId="259A40E6">
      <w:pPr>
        <w:spacing w:line="218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7DDEAA2">
      <w:pPr>
        <w:spacing w:before="293" w:line="217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湿地、草原、海洋碳汇计量监测技术</w:t>
      </w:r>
    </w:p>
    <w:p w14:paraId="23CA01FF">
      <w:pPr>
        <w:spacing w:before="295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增强风化、海洋碱化等碳汇技术</w:t>
      </w:r>
    </w:p>
    <w:p w14:paraId="51FE7ECD">
      <w:pPr>
        <w:spacing w:before="294" w:line="21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蓝碳生态系统、红树林、盐沼、海草床等保护修复</w:t>
      </w:r>
    </w:p>
    <w:p w14:paraId="158EC169">
      <w:pPr>
        <w:spacing w:before="295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 陆海统筹的生态修复、固碳增汇和生物多样性协同提升</w:t>
      </w:r>
    </w:p>
    <w:p w14:paraId="221E7C6C">
      <w:pPr>
        <w:spacing w:before="296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5. 自然碳汇长期稳定性、泄漏风险和气候</w:t>
      </w:r>
      <w:r>
        <w:rPr>
          <w:rFonts w:ascii="仿宋" w:hAnsi="仿宋" w:eastAsia="仿宋" w:cs="仿宋"/>
          <w:spacing w:val="-4"/>
          <w:sz w:val="28"/>
          <w:szCs w:val="28"/>
        </w:rPr>
        <w:t>影响评估</w:t>
      </w:r>
    </w:p>
    <w:p w14:paraId="0473814E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headerReference r:id="rId15" w:type="default"/>
          <w:footerReference r:id="rId16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4D228096">
      <w:pPr>
        <w:spacing w:line="271" w:lineRule="auto"/>
        <w:rPr>
          <w:rFonts w:ascii="Arial"/>
          <w:sz w:val="21"/>
        </w:rPr>
      </w:pPr>
    </w:p>
    <w:p w14:paraId="5D4C8CA2">
      <w:pPr>
        <w:spacing w:line="271" w:lineRule="auto"/>
        <w:rPr>
          <w:rFonts w:ascii="Arial"/>
          <w:sz w:val="21"/>
        </w:rPr>
      </w:pPr>
    </w:p>
    <w:p w14:paraId="07A00C67">
      <w:pPr>
        <w:spacing w:line="271" w:lineRule="auto"/>
        <w:rPr>
          <w:rFonts w:ascii="Arial"/>
          <w:sz w:val="21"/>
        </w:rPr>
      </w:pPr>
    </w:p>
    <w:p w14:paraId="4255C1EA">
      <w:pPr>
        <w:spacing w:line="272" w:lineRule="auto"/>
        <w:rPr>
          <w:rFonts w:ascii="Arial"/>
          <w:sz w:val="21"/>
        </w:rPr>
      </w:pPr>
    </w:p>
    <w:p w14:paraId="2D2AD799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11" w:name="bookmark12"/>
      <w:bookmarkEnd w:id="11"/>
      <w:r>
        <w:rPr>
          <w:rFonts w:ascii="黑体" w:hAnsi="黑体" w:eastAsia="黑体" w:cs="黑体"/>
          <w:spacing w:val="3"/>
          <w:sz w:val="31"/>
          <w:szCs w:val="31"/>
        </w:rPr>
        <w:t>赛道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>4</w:t>
      </w:r>
      <w:r>
        <w:rPr>
          <w:rFonts w:ascii="Arial" w:hAnsi="Arial" w:eastAsia="Arial" w:cs="Arial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：低碳工业与绿色制造</w:t>
      </w:r>
    </w:p>
    <w:p w14:paraId="4D1E6C1F">
      <w:pPr>
        <w:spacing w:line="312" w:lineRule="auto"/>
        <w:rPr>
          <w:rFonts w:ascii="Arial"/>
          <w:sz w:val="21"/>
        </w:rPr>
      </w:pPr>
    </w:p>
    <w:p w14:paraId="21C2362F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2" w:name="bookmark13"/>
      <w:bookmarkEnd w:id="12"/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赛题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4.1：重点工业深度脱碳</w:t>
      </w:r>
    </w:p>
    <w:p w14:paraId="5CEF2C1B">
      <w:pPr>
        <w:spacing w:line="278" w:lineRule="auto"/>
        <w:rPr>
          <w:rFonts w:ascii="Arial"/>
          <w:sz w:val="21"/>
        </w:rPr>
      </w:pPr>
    </w:p>
    <w:p w14:paraId="2E945AEF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625CAB66">
      <w:pPr>
        <w:spacing w:before="290" w:line="412" w:lineRule="auto"/>
        <w:ind w:left="37" w:right="11" w:firstLine="55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钢铁、水泥、化工、冶金等重点工业行业能源消耗大、过程排放高，是实现碳达峰碳中和的关键领域。深度脱碳需要同时推进节能增</w:t>
      </w:r>
      <w:r>
        <w:rPr>
          <w:rFonts w:ascii="仿宋" w:hAnsi="仿宋" w:eastAsia="仿宋" w:cs="仿宋"/>
          <w:spacing w:val="-1"/>
          <w:sz w:val="28"/>
          <w:szCs w:val="28"/>
        </w:rPr>
        <w:t>效、燃料替代、流程再造、余热余压利用、数字化管控等措施。</w:t>
      </w:r>
    </w:p>
    <w:p w14:paraId="10DE2C81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689FB288">
      <w:pPr>
        <w:spacing w:before="293" w:line="217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1.钢铁、水泥、化工、冶金等行业碳排放</w:t>
      </w:r>
      <w:r>
        <w:rPr>
          <w:rFonts w:ascii="仿宋" w:hAnsi="仿宋" w:eastAsia="仿宋" w:cs="仿宋"/>
          <w:spacing w:val="-2"/>
          <w:sz w:val="28"/>
          <w:szCs w:val="28"/>
        </w:rPr>
        <w:t>核算和减排路径</w:t>
      </w:r>
    </w:p>
    <w:p w14:paraId="7EDAA7F2">
      <w:pPr>
        <w:spacing w:before="294" w:line="218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2.工业节能、余热余压回收、能效提升和系统优化</w:t>
      </w:r>
    </w:p>
    <w:p w14:paraId="7CDB95A3">
      <w:pPr>
        <w:spacing w:before="293" w:line="412" w:lineRule="auto"/>
        <w:ind w:left="43" w:right="9" w:hanging="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3.低碳原燃料替代、电气化、氢冶金工艺和流程再造（请注意：制氢与储运环节请投赛道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2.3）</w:t>
      </w:r>
    </w:p>
    <w:p w14:paraId="063F5972">
      <w:pPr>
        <w:spacing w:before="2" w:line="411" w:lineRule="auto"/>
        <w:ind w:left="15" w:right="33" w:firstLine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4.重点工业设备智能监测、过程控制和能碳管理平台（请注意：涉及AI 与数字孪生的通用算法、技术方法、平台的作品，请投赛道 10，</w:t>
      </w:r>
      <w:r>
        <w:rPr>
          <w:rFonts w:ascii="仿宋" w:hAnsi="仿宋" w:eastAsia="仿宋" w:cs="仿宋"/>
          <w:sz w:val="28"/>
          <w:szCs w:val="28"/>
        </w:rPr>
        <w:t>本赛道侧重行业应用场景的适配验证与行业知识问题）</w:t>
      </w:r>
    </w:p>
    <w:p w14:paraId="449DCCCA">
      <w:pPr>
        <w:spacing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5.深度脱碳技术经济性、产业链协同和工程示范方案</w:t>
      </w:r>
    </w:p>
    <w:p w14:paraId="68070063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17" w:type="default"/>
          <w:pgSz w:w="11907" w:h="16839"/>
          <w:pgMar w:top="400" w:right="1785" w:bottom="1198" w:left="1785" w:header="0" w:footer="966" w:gutter="0"/>
          <w:cols w:space="720" w:num="1"/>
        </w:sectPr>
      </w:pPr>
    </w:p>
    <w:p w14:paraId="0744E9F3">
      <w:pPr>
        <w:spacing w:line="278" w:lineRule="auto"/>
        <w:rPr>
          <w:rFonts w:ascii="Arial"/>
          <w:sz w:val="21"/>
        </w:rPr>
      </w:pPr>
    </w:p>
    <w:p w14:paraId="464A6D25">
      <w:pPr>
        <w:spacing w:line="278" w:lineRule="auto"/>
        <w:rPr>
          <w:rFonts w:ascii="Arial"/>
          <w:sz w:val="21"/>
        </w:rPr>
      </w:pPr>
    </w:p>
    <w:p w14:paraId="7CE8BF5A">
      <w:pPr>
        <w:spacing w:line="279" w:lineRule="auto"/>
        <w:rPr>
          <w:rFonts w:ascii="Arial"/>
          <w:sz w:val="21"/>
        </w:rPr>
      </w:pPr>
    </w:p>
    <w:p w14:paraId="1530DFF6">
      <w:pPr>
        <w:spacing w:line="279" w:lineRule="auto"/>
        <w:rPr>
          <w:rFonts w:ascii="Arial"/>
          <w:sz w:val="21"/>
        </w:rPr>
      </w:pPr>
    </w:p>
    <w:p w14:paraId="36A9BDCE">
      <w:pPr>
        <w:spacing w:before="91" w:line="220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3" w:name="bookmark14"/>
      <w:bookmarkEnd w:id="13"/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赛题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4.2：工业源与大气源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CCUS</w:t>
      </w:r>
    </w:p>
    <w:p w14:paraId="480F2A71">
      <w:pPr>
        <w:spacing w:line="276" w:lineRule="auto"/>
        <w:rPr>
          <w:rFonts w:ascii="Arial"/>
          <w:sz w:val="21"/>
        </w:rPr>
      </w:pPr>
    </w:p>
    <w:p w14:paraId="521302C4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5A925A2B">
      <w:pPr>
        <w:spacing w:before="296" w:line="411" w:lineRule="auto"/>
        <w:ind w:left="33" w:right="9" w:firstLine="56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工业过程二氧化碳排放和高浓度二氧化碳排放</w:t>
      </w:r>
      <w:r>
        <w:rPr>
          <w:rFonts w:ascii="仿宋" w:hAnsi="仿宋" w:eastAsia="仿宋" w:cs="仿宋"/>
          <w:spacing w:val="5"/>
          <w:sz w:val="28"/>
          <w:szCs w:val="28"/>
        </w:rPr>
        <w:t>源在部分行业中</w:t>
      </w:r>
      <w:r>
        <w:rPr>
          <w:rFonts w:ascii="仿宋" w:hAnsi="仿宋" w:eastAsia="仿宋" w:cs="仿宋"/>
          <w:spacing w:val="-4"/>
          <w:sz w:val="28"/>
          <w:szCs w:val="28"/>
        </w:rPr>
        <w:t>难以通过常规节能完全消除，碳捕集、利用与封存（CCUS）是支撑工</w:t>
      </w:r>
      <w:r>
        <w:rPr>
          <w:rFonts w:ascii="仿宋" w:hAnsi="仿宋" w:eastAsia="仿宋" w:cs="仿宋"/>
          <w:spacing w:val="-2"/>
          <w:sz w:val="28"/>
          <w:szCs w:val="28"/>
        </w:rPr>
        <w:t>业深度脱碳的重要技术组合。工业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CCUS </w:t>
      </w:r>
      <w:r>
        <w:rPr>
          <w:rFonts w:ascii="仿宋" w:hAnsi="仿宋" w:eastAsia="仿宋" w:cs="仿宋"/>
          <w:spacing w:val="-3"/>
          <w:sz w:val="28"/>
          <w:szCs w:val="28"/>
        </w:rPr>
        <w:t>需要突破捕集能耗、运输安</w:t>
      </w:r>
      <w:r>
        <w:rPr>
          <w:rFonts w:ascii="仿宋" w:hAnsi="仿宋" w:eastAsia="仿宋" w:cs="仿宋"/>
          <w:spacing w:val="-2"/>
          <w:sz w:val="28"/>
          <w:szCs w:val="28"/>
        </w:rPr>
        <w:t>全、封存稳定性、二氧化碳利用和商业化成本等瓶颈。当前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CCUS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技</w:t>
      </w:r>
      <w:r>
        <w:rPr>
          <w:rFonts w:ascii="仿宋" w:hAnsi="仿宋" w:eastAsia="仿宋" w:cs="仿宋"/>
          <w:spacing w:val="-4"/>
          <w:sz w:val="28"/>
          <w:szCs w:val="28"/>
        </w:rPr>
        <w:t>术仍面临成本高、能耗高、监测核证难和规模化示范不足等挑战，</w:t>
      </w:r>
      <w:bookmarkStart w:id="44" w:name="_GoBack"/>
      <w:r>
        <w:rPr>
          <w:rFonts w:ascii="仿宋" w:hAnsi="仿宋" w:eastAsia="仿宋" w:cs="仿宋"/>
          <w:spacing w:val="-4"/>
          <w:sz w:val="28"/>
          <w:szCs w:val="28"/>
        </w:rPr>
        <w:t>亟</w:t>
      </w:r>
      <w:r>
        <w:rPr>
          <w:rFonts w:ascii="仿宋" w:hAnsi="仿宋" w:eastAsia="仿宋" w:cs="仿宋"/>
          <w:spacing w:val="-2"/>
          <w:sz w:val="28"/>
          <w:szCs w:val="28"/>
        </w:rPr>
        <w:t>需</w:t>
      </w:r>
      <w:bookmarkEnd w:id="44"/>
      <w:r>
        <w:rPr>
          <w:rFonts w:ascii="仿宋" w:hAnsi="仿宋" w:eastAsia="仿宋" w:cs="仿宋"/>
          <w:spacing w:val="-2"/>
          <w:sz w:val="28"/>
          <w:szCs w:val="28"/>
        </w:rPr>
        <w:t>形成可验证、可持续的技术路线。</w:t>
      </w:r>
    </w:p>
    <w:p w14:paraId="16BFC10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118A0007">
      <w:pPr>
        <w:spacing w:before="294" w:line="216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水泥、钢铁、化工、燃煤电厂等非油气工业源二氧化碳捕集技术</w:t>
      </w:r>
    </w:p>
    <w:p w14:paraId="272DED9F">
      <w:pPr>
        <w:spacing w:before="296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直接空气捕集（DAC）的材料、工艺、能耗优化与系统集成</w:t>
      </w:r>
    </w:p>
    <w:p w14:paraId="28C626A7">
      <w:pPr>
        <w:spacing w:before="295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二氧化碳压缩、运输、管网布局和封存安全评价</w:t>
      </w:r>
    </w:p>
    <w:p w14:paraId="62E1ED43">
      <w:pPr>
        <w:spacing w:before="297" w:line="215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二氧化碳矿化、化学转化和资源化利用</w:t>
      </w:r>
    </w:p>
    <w:p w14:paraId="7BFD8B80">
      <w:pPr>
        <w:spacing w:before="298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5.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工业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CCUS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集群化示范、商业模式和政策机制设计</w:t>
      </w:r>
    </w:p>
    <w:p w14:paraId="15B6BDD0">
      <w:pPr>
        <w:spacing w:before="294" w:line="217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6.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CCUS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全流程能耗、碳泄漏风险、生命周期评价和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MRV</w:t>
      </w:r>
    </w:p>
    <w:p w14:paraId="52554885">
      <w:pPr>
        <w:spacing w:before="295" w:line="412" w:lineRule="auto"/>
        <w:ind w:left="394" w:right="12" w:hanging="3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7. 生物质能源利用与碳捕集封存耦合技术（BECCS</w:t>
      </w:r>
      <w:r>
        <w:rPr>
          <w:rFonts w:ascii="仿宋" w:hAnsi="仿宋" w:eastAsia="仿宋" w:cs="仿宋"/>
          <w:spacing w:val="-74"/>
          <w:w w:val="91"/>
          <w:sz w:val="28"/>
          <w:szCs w:val="28"/>
        </w:rPr>
        <w:t>）（</w:t>
      </w:r>
      <w:r>
        <w:rPr>
          <w:rFonts w:ascii="仿宋" w:hAnsi="仿宋" w:eastAsia="仿宋" w:cs="仿宋"/>
          <w:spacing w:val="-14"/>
          <w:sz w:val="28"/>
          <w:szCs w:val="28"/>
        </w:rPr>
        <w:t>请注意：涉及“生</w:t>
      </w:r>
      <w:r>
        <w:rPr>
          <w:rFonts w:ascii="仿宋" w:hAnsi="仿宋" w:eastAsia="仿宋" w:cs="仿宋"/>
          <w:spacing w:val="2"/>
          <w:sz w:val="28"/>
          <w:szCs w:val="28"/>
        </w:rPr>
        <w:t>物质种植与收集”的作品，请投赛道3）</w:t>
      </w:r>
    </w:p>
    <w:p w14:paraId="0D55331B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18" w:type="default"/>
          <w:pgSz w:w="11907" w:h="16839"/>
          <w:pgMar w:top="400" w:right="1785" w:bottom="1198" w:left="1785" w:header="0" w:footer="966" w:gutter="0"/>
          <w:cols w:space="720" w:num="1"/>
        </w:sectPr>
      </w:pPr>
    </w:p>
    <w:p w14:paraId="29B4DF8B">
      <w:pPr>
        <w:spacing w:line="278" w:lineRule="auto"/>
        <w:rPr>
          <w:rFonts w:ascii="Arial"/>
          <w:sz w:val="21"/>
        </w:rPr>
      </w:pPr>
    </w:p>
    <w:p w14:paraId="4770E50A">
      <w:pPr>
        <w:spacing w:line="278" w:lineRule="auto"/>
        <w:rPr>
          <w:rFonts w:ascii="Arial"/>
          <w:sz w:val="21"/>
        </w:rPr>
      </w:pPr>
    </w:p>
    <w:p w14:paraId="584B312A">
      <w:pPr>
        <w:spacing w:line="278" w:lineRule="auto"/>
        <w:rPr>
          <w:rFonts w:ascii="Arial"/>
          <w:sz w:val="21"/>
        </w:rPr>
      </w:pPr>
    </w:p>
    <w:p w14:paraId="767F13C3">
      <w:pPr>
        <w:spacing w:line="279" w:lineRule="auto"/>
        <w:rPr>
          <w:rFonts w:ascii="Arial"/>
          <w:sz w:val="21"/>
        </w:rPr>
      </w:pPr>
    </w:p>
    <w:p w14:paraId="0CD3AFC5">
      <w:pPr>
        <w:spacing w:before="91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4" w:name="bookmark15"/>
      <w:bookmarkEnd w:id="14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4.3：绿色制造</w:t>
      </w:r>
    </w:p>
    <w:p w14:paraId="1432C707">
      <w:pPr>
        <w:spacing w:line="279" w:lineRule="auto"/>
        <w:rPr>
          <w:rFonts w:ascii="Arial"/>
          <w:sz w:val="21"/>
        </w:rPr>
      </w:pPr>
    </w:p>
    <w:p w14:paraId="4678E284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32E61AE4">
      <w:pPr>
        <w:spacing w:before="288" w:line="412" w:lineRule="auto"/>
        <w:ind w:left="33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电子、纺织、塑料、陶瓷、日用消费品、生物医药、矿业等</w:t>
      </w:r>
      <w:r>
        <w:rPr>
          <w:rFonts w:ascii="仿宋" w:hAnsi="仿宋" w:eastAsia="仿宋" w:cs="仿宋"/>
          <w:spacing w:val="-6"/>
          <w:sz w:val="28"/>
          <w:szCs w:val="28"/>
        </w:rPr>
        <w:t>制造</w:t>
      </w:r>
      <w:r>
        <w:rPr>
          <w:rFonts w:ascii="仿宋" w:hAnsi="仿宋" w:eastAsia="仿宋" w:cs="仿宋"/>
          <w:spacing w:val="-4"/>
          <w:sz w:val="28"/>
          <w:szCs w:val="28"/>
        </w:rPr>
        <w:t>行业与居民生活紧密相关，普遍呈现产品迭代快、供应链层级多、用能节点分散、消费端影响大的特点。绿色制造需要从工艺改进、材料</w:t>
      </w:r>
      <w:r>
        <w:rPr>
          <w:rFonts w:ascii="仿宋" w:hAnsi="仿宋" w:eastAsia="仿宋" w:cs="仿宋"/>
          <w:spacing w:val="-10"/>
          <w:sz w:val="28"/>
          <w:szCs w:val="28"/>
        </w:rPr>
        <w:t>替代、产品设计、智能生产和回收利用等环节降低全生命周期碳排放，</w:t>
      </w:r>
      <w:r>
        <w:rPr>
          <w:rFonts w:ascii="仿宋" w:hAnsi="仿宋" w:eastAsia="仿宋" w:cs="仿宋"/>
          <w:spacing w:val="-2"/>
          <w:sz w:val="28"/>
          <w:szCs w:val="28"/>
        </w:rPr>
        <w:t>同时兼顾经济可行性与产业适配性。</w:t>
      </w:r>
    </w:p>
    <w:p w14:paraId="6529403D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29EBD6D">
      <w:pPr>
        <w:spacing w:before="291" w:line="412" w:lineRule="auto"/>
        <w:ind w:left="33" w:right="78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1.电子、纺织、</w:t>
      </w:r>
      <w:r>
        <w:rPr>
          <w:rFonts w:ascii="仿宋" w:hAnsi="仿宋" w:eastAsia="仿宋" w:cs="仿宋"/>
          <w:spacing w:val="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塑料、陶瓷、日用消费品、生物医药、矿业等行业的</w:t>
      </w:r>
      <w:r>
        <w:rPr>
          <w:rFonts w:ascii="仿宋" w:hAnsi="仿宋" w:eastAsia="仿宋" w:cs="仿宋"/>
          <w:spacing w:val="-4"/>
          <w:sz w:val="28"/>
          <w:szCs w:val="28"/>
        </w:rPr>
        <w:t>低碳转型（材料替代、产品设计、生产工艺、能效提升、污染物协同</w:t>
      </w:r>
      <w:r>
        <w:rPr>
          <w:rFonts w:ascii="仿宋" w:hAnsi="仿宋" w:eastAsia="仿宋" w:cs="仿宋"/>
          <w:spacing w:val="-2"/>
          <w:sz w:val="28"/>
          <w:szCs w:val="28"/>
        </w:rPr>
        <w:t>控制与生态修复等）</w:t>
      </w:r>
    </w:p>
    <w:p w14:paraId="3B680549">
      <w:pPr>
        <w:spacing w:before="1" w:line="215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2.智能制造、柔性生产、数字化车间和能碳管理</w:t>
      </w:r>
    </w:p>
    <w:p w14:paraId="2E394E25">
      <w:pPr>
        <w:spacing w:before="297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3.产品碳足迹核算、绿色供应链和低碳消费引导</w:t>
      </w:r>
    </w:p>
    <w:p w14:paraId="32C73C3F">
      <w:pPr>
        <w:spacing w:before="293" w:line="412" w:lineRule="auto"/>
        <w:ind w:left="35" w:right="113" w:hanging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请注意：有关关键矿产供应链治理的作品，请投赛题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9.4；有关废旧产品回收利用，请投赛题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7.3。</w:t>
      </w:r>
    </w:p>
    <w:p w14:paraId="086CCCDD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19" w:type="default"/>
          <w:pgSz w:w="11907" w:h="16839"/>
          <w:pgMar w:top="400" w:right="1714" w:bottom="1198" w:left="1785" w:header="0" w:footer="967" w:gutter="0"/>
          <w:cols w:space="720" w:num="1"/>
        </w:sectPr>
      </w:pPr>
    </w:p>
    <w:p w14:paraId="5A9E1720">
      <w:pPr>
        <w:spacing w:line="271" w:lineRule="auto"/>
        <w:rPr>
          <w:rFonts w:ascii="Arial"/>
          <w:sz w:val="21"/>
        </w:rPr>
      </w:pPr>
    </w:p>
    <w:p w14:paraId="60FFAACC">
      <w:pPr>
        <w:spacing w:line="271" w:lineRule="auto"/>
        <w:rPr>
          <w:rFonts w:ascii="Arial"/>
          <w:sz w:val="21"/>
        </w:rPr>
      </w:pPr>
    </w:p>
    <w:p w14:paraId="2F46D463">
      <w:pPr>
        <w:spacing w:line="271" w:lineRule="auto"/>
        <w:rPr>
          <w:rFonts w:ascii="Arial"/>
          <w:sz w:val="21"/>
        </w:rPr>
      </w:pPr>
    </w:p>
    <w:p w14:paraId="2F183A46">
      <w:pPr>
        <w:spacing w:line="272" w:lineRule="auto"/>
        <w:rPr>
          <w:rFonts w:ascii="Arial"/>
          <w:sz w:val="21"/>
        </w:rPr>
      </w:pPr>
    </w:p>
    <w:p w14:paraId="50DC5429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15" w:name="bookmark16"/>
      <w:bookmarkEnd w:id="15"/>
      <w:r>
        <w:rPr>
          <w:rFonts w:ascii="黑体" w:hAnsi="黑体" w:eastAsia="黑体" w:cs="黑体"/>
          <w:spacing w:val="5"/>
          <w:sz w:val="31"/>
          <w:szCs w:val="31"/>
        </w:rPr>
        <w:t>赛道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5</w:t>
      </w:r>
      <w:r>
        <w:rPr>
          <w:rFonts w:ascii="黑体" w:hAnsi="黑体" w:eastAsia="黑体" w:cs="黑体"/>
          <w:spacing w:val="5"/>
          <w:sz w:val="31"/>
          <w:szCs w:val="31"/>
        </w:rPr>
        <w:t>：低碳建筑与城市规划</w:t>
      </w:r>
    </w:p>
    <w:p w14:paraId="43DC6CE7">
      <w:pPr>
        <w:spacing w:line="312" w:lineRule="auto"/>
        <w:rPr>
          <w:rFonts w:ascii="Arial"/>
          <w:sz w:val="21"/>
        </w:rPr>
      </w:pPr>
    </w:p>
    <w:p w14:paraId="52098918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6" w:name="bookmark17"/>
      <w:bookmarkEnd w:id="16"/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赛题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5.1：低零碳建筑设计与建造</w:t>
      </w:r>
    </w:p>
    <w:p w14:paraId="361D94B0">
      <w:pPr>
        <w:spacing w:line="278" w:lineRule="auto"/>
        <w:rPr>
          <w:rFonts w:ascii="Arial"/>
          <w:sz w:val="21"/>
        </w:rPr>
      </w:pPr>
    </w:p>
    <w:p w14:paraId="2ADE8822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648EAACA">
      <w:pPr>
        <w:spacing w:before="290" w:line="412" w:lineRule="auto"/>
        <w:ind w:left="33" w:right="12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建筑领域碳排放贯穿建材生产、施工建造、运行使用、拆除回收等全过程。低零碳建筑设计与绿色建材能够从源头降低建筑全生命周</w:t>
      </w:r>
      <w:r>
        <w:rPr>
          <w:rFonts w:ascii="仿宋" w:hAnsi="仿宋" w:eastAsia="仿宋" w:cs="仿宋"/>
          <w:spacing w:val="-1"/>
          <w:sz w:val="28"/>
          <w:szCs w:val="28"/>
        </w:rPr>
        <w:t>期排放，并提升建筑舒适性、耐久性和资源利用效率。</w:t>
      </w:r>
    </w:p>
    <w:p w14:paraId="0D7BA3DA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27B9CD30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1.零能耗建筑、被动式房屋和近零碳建筑设计方法</w:t>
      </w:r>
    </w:p>
    <w:p w14:paraId="59F50044">
      <w:pPr>
        <w:spacing w:before="294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2.绿色建材、低碳水泥、再生材料和低碳结构体系</w:t>
      </w:r>
    </w:p>
    <w:p w14:paraId="4651C702">
      <w:pPr>
        <w:spacing w:before="296" w:line="21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3.围护结构保温隔热、自然通风、采光和建筑节能技术</w:t>
      </w:r>
    </w:p>
    <w:p w14:paraId="2CAE38B7">
      <w:pPr>
        <w:spacing w:before="295"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4.建筑全生命周期碳排放核算、设计优化和认证评价</w:t>
      </w:r>
    </w:p>
    <w:p w14:paraId="73DD5073">
      <w:pPr>
        <w:spacing w:before="295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5.建筑拆除回收、装配式建造和材料循环利用</w:t>
      </w:r>
    </w:p>
    <w:p w14:paraId="7350B2E7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20" w:type="default"/>
          <w:pgSz w:w="11907" w:h="16839"/>
          <w:pgMar w:top="400" w:right="1785" w:bottom="1198" w:left="1785" w:header="0" w:footer="966" w:gutter="0"/>
          <w:cols w:space="720" w:num="1"/>
        </w:sectPr>
      </w:pPr>
    </w:p>
    <w:p w14:paraId="37B0F89D">
      <w:pPr>
        <w:spacing w:line="278" w:lineRule="auto"/>
        <w:rPr>
          <w:rFonts w:ascii="Arial"/>
          <w:sz w:val="21"/>
        </w:rPr>
      </w:pPr>
    </w:p>
    <w:p w14:paraId="6CE6FDB4">
      <w:pPr>
        <w:spacing w:line="278" w:lineRule="auto"/>
        <w:rPr>
          <w:rFonts w:ascii="Arial"/>
          <w:sz w:val="21"/>
        </w:rPr>
      </w:pPr>
    </w:p>
    <w:p w14:paraId="0998E52E">
      <w:pPr>
        <w:spacing w:line="278" w:lineRule="auto"/>
        <w:rPr>
          <w:rFonts w:ascii="Arial"/>
          <w:sz w:val="21"/>
        </w:rPr>
      </w:pPr>
    </w:p>
    <w:p w14:paraId="3A7A0DE8">
      <w:pPr>
        <w:spacing w:line="279" w:lineRule="auto"/>
        <w:rPr>
          <w:rFonts w:ascii="Arial"/>
          <w:sz w:val="21"/>
        </w:rPr>
      </w:pPr>
    </w:p>
    <w:p w14:paraId="5B0B37AC">
      <w:pPr>
        <w:spacing w:before="91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7" w:name="bookmark18"/>
      <w:bookmarkEnd w:id="17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5.2：建筑能源系统与供热技术</w:t>
      </w:r>
    </w:p>
    <w:p w14:paraId="10A37019">
      <w:pPr>
        <w:spacing w:line="279" w:lineRule="auto"/>
        <w:rPr>
          <w:rFonts w:ascii="Arial"/>
          <w:sz w:val="21"/>
        </w:rPr>
      </w:pPr>
    </w:p>
    <w:p w14:paraId="19A96985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239CF79C">
      <w:pPr>
        <w:spacing w:before="289" w:line="412" w:lineRule="auto"/>
        <w:ind w:left="34" w:firstLine="55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建筑运行阶段能源消耗主要来自供热、供冷、照明</w:t>
      </w:r>
      <w:r>
        <w:rPr>
          <w:rFonts w:ascii="仿宋" w:hAnsi="仿宋" w:eastAsia="仿宋" w:cs="仿宋"/>
          <w:spacing w:val="-2"/>
          <w:sz w:val="28"/>
          <w:szCs w:val="28"/>
        </w:rPr>
        <w:t>和设备系统，</w:t>
      </w:r>
      <w:r>
        <w:rPr>
          <w:rFonts w:ascii="仿宋" w:hAnsi="仿宋" w:eastAsia="仿宋" w:cs="仿宋"/>
          <w:spacing w:val="-4"/>
          <w:sz w:val="28"/>
          <w:szCs w:val="28"/>
        </w:rPr>
        <w:t>是建筑减碳的重点环节。通过高效暖通空调、光伏建筑一体化、清洁供暖供冷、区域能源站优化等途径，可显著降低建筑运行能耗与碳排</w:t>
      </w:r>
      <w:r>
        <w:rPr>
          <w:rFonts w:ascii="仿宋" w:hAnsi="仿宋" w:eastAsia="仿宋" w:cs="仿宋"/>
          <w:spacing w:val="-14"/>
          <w:sz w:val="28"/>
          <w:szCs w:val="28"/>
        </w:rPr>
        <w:t>放。</w:t>
      </w:r>
    </w:p>
    <w:p w14:paraId="4827DB8F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E0B907A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1.暖通空调系统节能、热泵、余热利用和</w:t>
      </w:r>
      <w:r>
        <w:rPr>
          <w:rFonts w:ascii="仿宋" w:hAnsi="仿宋" w:eastAsia="仿宋" w:cs="仿宋"/>
          <w:spacing w:val="-2"/>
          <w:sz w:val="28"/>
          <w:szCs w:val="28"/>
        </w:rPr>
        <w:t>高效末端设备</w:t>
      </w:r>
    </w:p>
    <w:p w14:paraId="55E8AB00">
      <w:pPr>
        <w:spacing w:before="294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2.光伏建筑一体化、建筑储能和建筑柔性用能调控</w:t>
      </w:r>
    </w:p>
    <w:p w14:paraId="5239B4C1">
      <w:pPr>
        <w:spacing w:before="296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3.清洁供暖/供冷、区域能源站和冷热电联供系统</w:t>
      </w:r>
    </w:p>
    <w:p w14:paraId="7C2540C9">
      <w:pPr>
        <w:spacing w:before="291" w:line="412" w:lineRule="auto"/>
        <w:ind w:left="31" w:right="77" w:hanging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4.建筑能源数字化监测、故障诊断和智慧运</w:t>
      </w:r>
      <w:r>
        <w:rPr>
          <w:rFonts w:ascii="仿宋" w:hAnsi="仿宋" w:eastAsia="仿宋" w:cs="仿宋"/>
          <w:spacing w:val="-3"/>
          <w:sz w:val="28"/>
          <w:szCs w:val="28"/>
        </w:rPr>
        <w:t>维（请注意：涉及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AI 与</w:t>
      </w:r>
      <w:r>
        <w:rPr>
          <w:rFonts w:ascii="仿宋" w:hAnsi="仿宋" w:eastAsia="仿宋" w:cs="仿宋"/>
          <w:spacing w:val="-7"/>
          <w:sz w:val="28"/>
          <w:szCs w:val="28"/>
        </w:rPr>
        <w:t>数字孪生的通用算法、技术方法、平台的作品，请投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赛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道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10</w:t>
      </w:r>
      <w:r>
        <w:rPr>
          <w:rFonts w:ascii="仿宋" w:hAnsi="仿宋" w:eastAsia="仿宋" w:cs="仿宋"/>
          <w:spacing w:val="-8"/>
          <w:sz w:val="28"/>
          <w:szCs w:val="28"/>
        </w:rPr>
        <w:t>，本赛道</w:t>
      </w:r>
      <w:r>
        <w:rPr>
          <w:rFonts w:ascii="仿宋" w:hAnsi="仿宋" w:eastAsia="仿宋" w:cs="仿宋"/>
          <w:spacing w:val="-1"/>
          <w:sz w:val="28"/>
          <w:szCs w:val="28"/>
        </w:rPr>
        <w:t>侧重行业应用场景的适配验证与行业知识问题）</w:t>
      </w:r>
    </w:p>
    <w:p w14:paraId="61AD3FBB">
      <w:pPr>
        <w:spacing w:before="1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5.建筑能源系统碳排放核算、节能改造和经济性评估</w:t>
      </w:r>
    </w:p>
    <w:p w14:paraId="6310F90D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21" w:type="default"/>
          <w:pgSz w:w="11907" w:h="16839"/>
          <w:pgMar w:top="400" w:right="1720" w:bottom="1198" w:left="1785" w:header="0" w:footer="967" w:gutter="0"/>
          <w:cols w:space="720" w:num="1"/>
        </w:sectPr>
      </w:pPr>
    </w:p>
    <w:p w14:paraId="5DD15D20">
      <w:pPr>
        <w:spacing w:line="278" w:lineRule="auto"/>
        <w:rPr>
          <w:rFonts w:ascii="Arial"/>
          <w:sz w:val="21"/>
        </w:rPr>
      </w:pPr>
    </w:p>
    <w:p w14:paraId="15F7F323">
      <w:pPr>
        <w:spacing w:line="278" w:lineRule="auto"/>
        <w:rPr>
          <w:rFonts w:ascii="Arial"/>
          <w:sz w:val="21"/>
        </w:rPr>
      </w:pPr>
    </w:p>
    <w:p w14:paraId="047ED47D">
      <w:pPr>
        <w:spacing w:line="278" w:lineRule="auto"/>
        <w:rPr>
          <w:rFonts w:ascii="Arial"/>
          <w:sz w:val="21"/>
        </w:rPr>
      </w:pPr>
    </w:p>
    <w:p w14:paraId="5EAB145D">
      <w:pPr>
        <w:spacing w:line="279" w:lineRule="auto"/>
        <w:rPr>
          <w:rFonts w:ascii="Arial"/>
          <w:sz w:val="21"/>
        </w:rPr>
      </w:pPr>
    </w:p>
    <w:p w14:paraId="7B611FA3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18" w:name="bookmark19"/>
      <w:bookmarkEnd w:id="18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5.3：零碳城市与社区规划</w:t>
      </w:r>
    </w:p>
    <w:p w14:paraId="35900C0B">
      <w:pPr>
        <w:spacing w:line="278" w:lineRule="auto"/>
        <w:rPr>
          <w:rFonts w:ascii="Arial"/>
          <w:sz w:val="21"/>
        </w:rPr>
      </w:pPr>
    </w:p>
    <w:p w14:paraId="491911F9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5DA89A49">
      <w:pPr>
        <w:spacing w:before="289" w:line="412" w:lineRule="auto"/>
        <w:ind w:left="34" w:right="11" w:firstLine="56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城市是能源消费和碳排放的重要载体，社区是</w:t>
      </w:r>
      <w:r>
        <w:rPr>
          <w:rFonts w:ascii="仿宋" w:hAnsi="仿宋" w:eastAsia="仿宋" w:cs="仿宋"/>
          <w:spacing w:val="-5"/>
          <w:sz w:val="28"/>
          <w:szCs w:val="28"/>
        </w:rPr>
        <w:t>低碳生活和公共服</w:t>
      </w:r>
      <w:r>
        <w:rPr>
          <w:rFonts w:ascii="仿宋" w:hAnsi="仿宋" w:eastAsia="仿宋" w:cs="仿宋"/>
          <w:spacing w:val="-4"/>
          <w:sz w:val="28"/>
          <w:szCs w:val="28"/>
        </w:rPr>
        <w:t>务落地的基本单元。零碳城市与社区规划需要统筹空间结构、交通组织、能源系统、生态空间和居民行为，形成可实施、可评估的低碳发</w:t>
      </w:r>
      <w:r>
        <w:rPr>
          <w:rFonts w:ascii="仿宋" w:hAnsi="仿宋" w:eastAsia="仿宋" w:cs="仿宋"/>
          <w:spacing w:val="-11"/>
          <w:sz w:val="28"/>
          <w:szCs w:val="28"/>
        </w:rPr>
        <w:t>展路径。</w:t>
      </w:r>
    </w:p>
    <w:p w14:paraId="3F87228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79054EA4">
      <w:pPr>
        <w:spacing w:before="292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1.零碳城市、低碳社区和公园碳中和路径规划</w:t>
      </w:r>
    </w:p>
    <w:p w14:paraId="2E13745B">
      <w:pPr>
        <w:spacing w:before="293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2.城市空间结构、功能混合、15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分钟生活</w:t>
      </w:r>
      <w:r>
        <w:rPr>
          <w:rFonts w:ascii="仿宋" w:hAnsi="仿宋" w:eastAsia="仿宋" w:cs="仿宋"/>
          <w:spacing w:val="-2"/>
          <w:sz w:val="28"/>
          <w:szCs w:val="28"/>
        </w:rPr>
        <w:t>圈和绿色出行协同</w:t>
      </w:r>
    </w:p>
    <w:p w14:paraId="35143C70">
      <w:pPr>
        <w:spacing w:before="294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3.通风廊道、蓝绿空间、热岛缓解和城市气候适应设计</w:t>
      </w:r>
    </w:p>
    <w:p w14:paraId="471B6211">
      <w:pPr>
        <w:spacing w:before="294" w:line="218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4.社区能源、垃圾分类、低碳生活和居民参与机制</w:t>
      </w:r>
    </w:p>
    <w:p w14:paraId="1D1D5195">
      <w:pPr>
        <w:spacing w:before="294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5.城市/社区碳排放清单、数字化管理和绩效评估</w:t>
      </w:r>
    </w:p>
    <w:p w14:paraId="2C0773C1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22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3E8C6090">
      <w:pPr>
        <w:spacing w:line="271" w:lineRule="auto"/>
        <w:rPr>
          <w:rFonts w:ascii="Arial"/>
          <w:sz w:val="21"/>
        </w:rPr>
      </w:pPr>
    </w:p>
    <w:p w14:paraId="1D8364E7">
      <w:pPr>
        <w:spacing w:line="271" w:lineRule="auto"/>
        <w:rPr>
          <w:rFonts w:ascii="Arial"/>
          <w:sz w:val="21"/>
        </w:rPr>
      </w:pPr>
    </w:p>
    <w:p w14:paraId="28F2178A">
      <w:pPr>
        <w:spacing w:line="271" w:lineRule="auto"/>
        <w:rPr>
          <w:rFonts w:ascii="Arial"/>
          <w:sz w:val="21"/>
        </w:rPr>
      </w:pPr>
    </w:p>
    <w:p w14:paraId="6F49CA72">
      <w:pPr>
        <w:spacing w:line="272" w:lineRule="auto"/>
        <w:rPr>
          <w:rFonts w:ascii="Arial"/>
          <w:sz w:val="21"/>
        </w:rPr>
      </w:pPr>
    </w:p>
    <w:p w14:paraId="2C7F9485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19" w:name="bookmark20"/>
      <w:bookmarkEnd w:id="19"/>
      <w:r>
        <w:rPr>
          <w:rFonts w:ascii="黑体" w:hAnsi="黑体" w:eastAsia="黑体" w:cs="黑体"/>
          <w:spacing w:val="5"/>
          <w:sz w:val="31"/>
          <w:szCs w:val="31"/>
        </w:rPr>
        <w:t>赛道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6</w:t>
      </w:r>
      <w:r>
        <w:rPr>
          <w:rFonts w:ascii="黑体" w:hAnsi="黑体" w:eastAsia="黑体" w:cs="黑体"/>
          <w:spacing w:val="5"/>
          <w:sz w:val="31"/>
          <w:szCs w:val="31"/>
        </w:rPr>
        <w:t>：低零碳交通</w:t>
      </w:r>
    </w:p>
    <w:p w14:paraId="02B793F9">
      <w:pPr>
        <w:spacing w:line="313" w:lineRule="auto"/>
        <w:rPr>
          <w:rFonts w:ascii="Arial"/>
          <w:sz w:val="21"/>
        </w:rPr>
      </w:pPr>
    </w:p>
    <w:p w14:paraId="602FAE49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0" w:name="bookmark21"/>
      <w:bookmarkEnd w:id="20"/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赛题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6.1：零碳道路交通</w:t>
      </w:r>
    </w:p>
    <w:p w14:paraId="4D694424">
      <w:pPr>
        <w:spacing w:line="277" w:lineRule="auto"/>
        <w:rPr>
          <w:rFonts w:ascii="Arial"/>
          <w:sz w:val="21"/>
        </w:rPr>
      </w:pPr>
    </w:p>
    <w:p w14:paraId="157462F5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4B10C017">
      <w:pPr>
        <w:spacing w:before="290" w:line="412" w:lineRule="auto"/>
        <w:ind w:left="47" w:firstLine="54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道路交通是交通运输碳排放的主要来源，车辆电动化、智</w:t>
      </w:r>
      <w:r>
        <w:rPr>
          <w:rFonts w:ascii="仿宋" w:hAnsi="仿宋" w:eastAsia="仿宋" w:cs="仿宋"/>
          <w:spacing w:val="-5"/>
          <w:sz w:val="28"/>
          <w:szCs w:val="28"/>
        </w:rPr>
        <w:t>慧化是</w:t>
      </w:r>
      <w:r>
        <w:rPr>
          <w:rFonts w:ascii="仿宋" w:hAnsi="仿宋" w:eastAsia="仿宋" w:cs="仿宋"/>
          <w:spacing w:val="-4"/>
          <w:sz w:val="28"/>
          <w:szCs w:val="28"/>
        </w:rPr>
        <w:t>降低道路交通排放的重要方向。随着智能新能源汽</w:t>
      </w:r>
      <w:r>
        <w:rPr>
          <w:rFonts w:ascii="仿宋" w:hAnsi="仿宋" w:eastAsia="仿宋" w:cs="仿宋"/>
          <w:spacing w:val="-5"/>
          <w:sz w:val="28"/>
          <w:szCs w:val="28"/>
        </w:rPr>
        <w:t>车规模扩大，动力</w:t>
      </w:r>
      <w:r>
        <w:rPr>
          <w:rFonts w:ascii="仿宋" w:hAnsi="仿宋" w:eastAsia="仿宋" w:cs="仿宋"/>
          <w:spacing w:val="-1"/>
          <w:sz w:val="28"/>
          <w:szCs w:val="28"/>
        </w:rPr>
        <w:t>电池、充换电设施、车网互动和交通运行效率成为系统减碳的关键。</w:t>
      </w:r>
    </w:p>
    <w:p w14:paraId="03030021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75F3649C">
      <w:pPr>
        <w:spacing w:before="293" w:line="216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1.电动汽车、燃料电池车和低碳车辆关键技术</w:t>
      </w:r>
    </w:p>
    <w:p w14:paraId="3F77AEF8">
      <w:pPr>
        <w:spacing w:before="295" w:line="412" w:lineRule="auto"/>
        <w:ind w:left="47" w:right="139" w:hanging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2.动力电池安全、寿命、回收利用（请注意：有关关键矿产资源的回收利用请投赛道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7.3）</w:t>
      </w:r>
    </w:p>
    <w:p w14:paraId="6A93BBE1">
      <w:pPr>
        <w:spacing w:before="1" w:line="215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3.充电换电设施布局、智能有序充电、车网互动（V2G）</w:t>
      </w:r>
    </w:p>
    <w:p w14:paraId="30E39FD8">
      <w:pPr>
        <w:spacing w:before="296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4.智慧交通、车路协同、拥堵治理和绿色出行激励</w:t>
      </w:r>
    </w:p>
    <w:p w14:paraId="54AD4470">
      <w:pPr>
        <w:spacing w:before="297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5.道路交通碳排放核算、运营优化和减排效果评价</w:t>
      </w:r>
    </w:p>
    <w:p w14:paraId="231FC308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23" w:type="default"/>
          <w:pgSz w:w="11907" w:h="16839"/>
          <w:pgMar w:top="400" w:right="1694" w:bottom="1198" w:left="1785" w:header="0" w:footer="967" w:gutter="0"/>
          <w:cols w:space="720" w:num="1"/>
        </w:sectPr>
      </w:pPr>
    </w:p>
    <w:p w14:paraId="356519B9">
      <w:pPr>
        <w:spacing w:line="278" w:lineRule="auto"/>
        <w:rPr>
          <w:rFonts w:ascii="Arial"/>
          <w:sz w:val="21"/>
        </w:rPr>
      </w:pPr>
    </w:p>
    <w:p w14:paraId="13BADBA2">
      <w:pPr>
        <w:spacing w:line="278" w:lineRule="auto"/>
        <w:rPr>
          <w:rFonts w:ascii="Arial"/>
          <w:sz w:val="21"/>
        </w:rPr>
      </w:pPr>
    </w:p>
    <w:p w14:paraId="6E0589CB">
      <w:pPr>
        <w:spacing w:line="279" w:lineRule="auto"/>
        <w:rPr>
          <w:rFonts w:ascii="Arial"/>
          <w:sz w:val="21"/>
        </w:rPr>
      </w:pPr>
    </w:p>
    <w:p w14:paraId="6763F6F8">
      <w:pPr>
        <w:spacing w:line="279" w:lineRule="auto"/>
        <w:rPr>
          <w:rFonts w:ascii="Arial"/>
          <w:sz w:val="21"/>
        </w:rPr>
      </w:pPr>
    </w:p>
    <w:p w14:paraId="757CEC85">
      <w:pPr>
        <w:spacing w:before="91" w:line="220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1" w:name="bookmark22"/>
      <w:bookmarkEnd w:id="21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6.2：航空与航运脱碳</w:t>
      </w:r>
    </w:p>
    <w:p w14:paraId="4D7AA604">
      <w:pPr>
        <w:spacing w:line="276" w:lineRule="auto"/>
        <w:rPr>
          <w:rFonts w:ascii="Arial"/>
          <w:sz w:val="21"/>
        </w:rPr>
      </w:pPr>
    </w:p>
    <w:p w14:paraId="645082E8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1F5975EE">
      <w:pPr>
        <w:spacing w:before="289" w:line="412" w:lineRule="auto"/>
        <w:ind w:left="39" w:right="120" w:firstLine="55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航空与航运具有长距离、高能量密度需求和国际化运营</w:t>
      </w:r>
      <w:r>
        <w:rPr>
          <w:rFonts w:ascii="仿宋" w:hAnsi="仿宋" w:eastAsia="仿宋" w:cs="仿宋"/>
          <w:spacing w:val="-5"/>
          <w:sz w:val="28"/>
          <w:szCs w:val="28"/>
        </w:rPr>
        <w:t>特征，是</w:t>
      </w:r>
      <w:r>
        <w:rPr>
          <w:rFonts w:ascii="仿宋" w:hAnsi="仿宋" w:eastAsia="仿宋" w:cs="仿宋"/>
          <w:spacing w:val="-4"/>
          <w:sz w:val="28"/>
          <w:szCs w:val="28"/>
        </w:rPr>
        <w:t>交通领域深度脱碳的难点。可持续航空燃料（SAF）、电动/混合动力飞机、绿色船舶、低碳航运燃料、低碳港口和机场建设等，是推动航</w:t>
      </w:r>
      <w:r>
        <w:rPr>
          <w:rFonts w:ascii="仿宋" w:hAnsi="仿宋" w:eastAsia="仿宋" w:cs="仿宋"/>
          <w:spacing w:val="-5"/>
          <w:sz w:val="28"/>
          <w:szCs w:val="28"/>
        </w:rPr>
        <w:t>空航运减排的重要路径。</w:t>
      </w:r>
    </w:p>
    <w:p w14:paraId="27CEE675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3EC011E6">
      <w:pPr>
        <w:spacing w:before="294" w:line="411" w:lineRule="auto"/>
        <w:ind w:left="34" w:right="4" w:firstLine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 可持续航空燃料（SAF</w:t>
      </w:r>
      <w:r>
        <w:rPr>
          <w:rFonts w:ascii="仿宋" w:hAnsi="仿宋" w:eastAsia="仿宋" w:cs="仿宋"/>
          <w:spacing w:val="-76"/>
          <w:w w:val="94"/>
          <w:sz w:val="28"/>
          <w:szCs w:val="28"/>
        </w:rPr>
        <w:t>）（</w:t>
      </w:r>
      <w:r>
        <w:rPr>
          <w:rFonts w:ascii="仿宋" w:hAnsi="仿宋" w:eastAsia="仿宋" w:cs="仿宋"/>
          <w:spacing w:val="-1"/>
          <w:sz w:val="28"/>
          <w:szCs w:val="28"/>
        </w:rPr>
        <w:t>HEFA、ATJ、PtL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等非氢基制备技术、与</w:t>
      </w:r>
      <w:r>
        <w:rPr>
          <w:rFonts w:ascii="仿宋" w:hAnsi="仿宋" w:eastAsia="仿宋" w:cs="仿宋"/>
          <w:spacing w:val="-9"/>
          <w:sz w:val="28"/>
          <w:szCs w:val="28"/>
        </w:rPr>
        <w:t>燃料特性优化、适航认证、全生命周期碳排放核算与可持续性评价等）</w:t>
      </w:r>
    </w:p>
    <w:p w14:paraId="414720DD">
      <w:pPr>
        <w:spacing w:before="1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2.电动飞机、混合电推进和航空能源管理</w:t>
      </w:r>
    </w:p>
    <w:p w14:paraId="620928C2">
      <w:pPr>
        <w:spacing w:before="292" w:line="412" w:lineRule="auto"/>
        <w:ind w:left="39" w:hanging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3.低零碳船舶燃料（绿色甲醇/氨/氢等低零碳船舶燃料的储运、加注、</w:t>
      </w:r>
      <w:r>
        <w:rPr>
          <w:rFonts w:ascii="仿宋" w:hAnsi="仿宋" w:eastAsia="仿宋" w:cs="仿宋"/>
          <w:sz w:val="28"/>
          <w:szCs w:val="28"/>
        </w:rPr>
        <w:t>发动机适配、船舶应用，液化天然气的减排潜力与甲烷逃逸控制等）</w:t>
      </w:r>
    </w:p>
    <w:p w14:paraId="1EF708FC">
      <w:pPr>
        <w:spacing w:before="1" w:line="411" w:lineRule="auto"/>
        <w:ind w:left="39" w:right="121" w:hanging="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4.绿色船舶技术（能效优化，风力辅助推进、空气润滑</w:t>
      </w:r>
      <w:r>
        <w:rPr>
          <w:rFonts w:ascii="仿宋" w:hAnsi="仿宋" w:eastAsia="仿宋" w:cs="仿宋"/>
          <w:spacing w:val="-4"/>
          <w:sz w:val="28"/>
          <w:szCs w:val="28"/>
        </w:rPr>
        <w:t>、废热回收等</w:t>
      </w:r>
      <w:r>
        <w:rPr>
          <w:rFonts w:ascii="仿宋" w:hAnsi="仿宋" w:eastAsia="仿宋" w:cs="仿宋"/>
          <w:spacing w:val="-13"/>
          <w:sz w:val="28"/>
          <w:szCs w:val="28"/>
        </w:rPr>
        <w:t>节能技术，岸电系统、船舶电气化与混合动力，船舶碳捕集与</w:t>
      </w:r>
      <w:r>
        <w:rPr>
          <w:rFonts w:ascii="仿宋" w:hAnsi="仿宋" w:eastAsia="仿宋" w:cs="仿宋"/>
          <w:spacing w:val="-14"/>
          <w:sz w:val="28"/>
          <w:szCs w:val="28"/>
        </w:rPr>
        <w:t>封存等）</w:t>
      </w:r>
    </w:p>
    <w:p w14:paraId="7B92F485">
      <w:pPr>
        <w:spacing w:before="3" w:line="411" w:lineRule="auto"/>
        <w:ind w:left="31" w:right="39" w:hanging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5.低碳港口与机场（港口岸电、自动化码头、绿色照明与能源管理，</w:t>
      </w:r>
      <w:r>
        <w:rPr>
          <w:rFonts w:ascii="仿宋" w:hAnsi="仿宋" w:eastAsia="仿宋" w:cs="仿宋"/>
          <w:spacing w:val="-2"/>
          <w:sz w:val="28"/>
          <w:szCs w:val="28"/>
        </w:rPr>
        <w:t>机场地面设备电动化、APU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替代、光伏/储能系统，港口/机场碳排放核算、碳管理与碳中和路径规划）</w:t>
      </w:r>
    </w:p>
    <w:p w14:paraId="15DD6663">
      <w:pPr>
        <w:spacing w:before="2" w:line="411" w:lineRule="auto"/>
        <w:ind w:left="34" w:right="122" w:hanging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6.航空航运全生命周期碳排放核算、认证和减排机制（CORSIA，绿色</w:t>
      </w:r>
      <w:r>
        <w:rPr>
          <w:rFonts w:ascii="仿宋" w:hAnsi="仿宋" w:eastAsia="仿宋" w:cs="仿宋"/>
          <w:spacing w:val="-4"/>
          <w:sz w:val="28"/>
          <w:szCs w:val="28"/>
        </w:rPr>
        <w:t>航运走廊、低碳航线优化，航空航运碳标签、碳信用与绿色金融机制</w:t>
      </w:r>
      <w:r>
        <w:rPr>
          <w:rFonts w:ascii="仿宋" w:hAnsi="仿宋" w:eastAsia="仿宋" w:cs="仿宋"/>
          <w:spacing w:val="-10"/>
          <w:sz w:val="28"/>
          <w:szCs w:val="28"/>
        </w:rPr>
        <w:t>等）</w:t>
      </w:r>
    </w:p>
    <w:p w14:paraId="38EA47F9">
      <w:pPr>
        <w:spacing w:before="3" w:line="411" w:lineRule="auto"/>
        <w:ind w:left="33" w:right="1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请注意：氢基燃料（氨、甲醇、合成燃料）的生产制备请投赛道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2.3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（氢能</w:t>
      </w:r>
      <w:r>
        <w:rPr>
          <w:rFonts w:ascii="仿宋" w:hAnsi="仿宋" w:eastAsia="仿宋" w:cs="仿宋"/>
          <w:spacing w:val="-68"/>
          <w:sz w:val="28"/>
          <w:szCs w:val="28"/>
        </w:rPr>
        <w:t>）；</w:t>
      </w:r>
      <w:r>
        <w:rPr>
          <w:rFonts w:ascii="仿宋" w:hAnsi="仿宋" w:eastAsia="仿宋" w:cs="仿宋"/>
          <w:spacing w:val="-7"/>
          <w:sz w:val="28"/>
          <w:szCs w:val="28"/>
        </w:rPr>
        <w:t>航空发动机燃烧室设计请投赛道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11.</w:t>
      </w:r>
      <w:r>
        <w:rPr>
          <w:rFonts w:ascii="仿宋" w:hAnsi="仿宋" w:eastAsia="仿宋" w:cs="仿宋"/>
          <w:spacing w:val="-8"/>
          <w:sz w:val="28"/>
          <w:szCs w:val="28"/>
        </w:rPr>
        <w:t>4（低碳燃烧室）。</w:t>
      </w:r>
    </w:p>
    <w:p w14:paraId="58E29BA2">
      <w:pPr>
        <w:spacing w:line="411" w:lineRule="auto"/>
        <w:rPr>
          <w:rFonts w:ascii="仿宋" w:hAnsi="仿宋" w:eastAsia="仿宋" w:cs="仿宋"/>
          <w:sz w:val="28"/>
          <w:szCs w:val="28"/>
        </w:rPr>
        <w:sectPr>
          <w:footerReference r:id="rId24" w:type="default"/>
          <w:pgSz w:w="11907" w:h="16839"/>
          <w:pgMar w:top="400" w:right="1672" w:bottom="1198" w:left="1785" w:header="0" w:footer="967" w:gutter="0"/>
          <w:cols w:space="720" w:num="1"/>
        </w:sectPr>
      </w:pPr>
    </w:p>
    <w:p w14:paraId="44AF1870">
      <w:pPr>
        <w:spacing w:line="271" w:lineRule="auto"/>
        <w:rPr>
          <w:rFonts w:ascii="Arial"/>
          <w:sz w:val="21"/>
        </w:rPr>
      </w:pPr>
    </w:p>
    <w:p w14:paraId="22677F35">
      <w:pPr>
        <w:spacing w:line="271" w:lineRule="auto"/>
        <w:rPr>
          <w:rFonts w:ascii="Arial"/>
          <w:sz w:val="21"/>
        </w:rPr>
      </w:pPr>
    </w:p>
    <w:p w14:paraId="01470A6B">
      <w:pPr>
        <w:spacing w:line="271" w:lineRule="auto"/>
        <w:rPr>
          <w:rFonts w:ascii="Arial"/>
          <w:sz w:val="21"/>
        </w:rPr>
      </w:pPr>
    </w:p>
    <w:p w14:paraId="768274E0">
      <w:pPr>
        <w:spacing w:line="272" w:lineRule="auto"/>
        <w:rPr>
          <w:rFonts w:ascii="Arial"/>
          <w:sz w:val="21"/>
        </w:rPr>
      </w:pPr>
    </w:p>
    <w:p w14:paraId="751EF1C8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22" w:name="bookmark23"/>
      <w:bookmarkEnd w:id="22"/>
      <w:r>
        <w:rPr>
          <w:rFonts w:ascii="黑体" w:hAnsi="黑体" w:eastAsia="黑体" w:cs="黑体"/>
          <w:spacing w:val="6"/>
          <w:sz w:val="31"/>
          <w:szCs w:val="31"/>
        </w:rPr>
        <w:t>赛道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Arial" w:hAnsi="Arial" w:eastAsia="Arial" w:cs="Arial"/>
          <w:spacing w:val="6"/>
          <w:sz w:val="31"/>
          <w:szCs w:val="31"/>
        </w:rPr>
        <w:t>7</w:t>
      </w:r>
      <w:r>
        <w:rPr>
          <w:rFonts w:ascii="黑体" w:hAnsi="黑体" w:eastAsia="黑体" w:cs="黑体"/>
          <w:spacing w:val="6"/>
          <w:sz w:val="31"/>
          <w:szCs w:val="31"/>
        </w:rPr>
        <w:t>：减污降碳与循环经济</w:t>
      </w:r>
    </w:p>
    <w:p w14:paraId="2EA0F0F5">
      <w:pPr>
        <w:spacing w:line="312" w:lineRule="auto"/>
        <w:rPr>
          <w:rFonts w:ascii="Arial"/>
          <w:sz w:val="21"/>
        </w:rPr>
      </w:pPr>
    </w:p>
    <w:p w14:paraId="60E5F7A9">
      <w:pPr>
        <w:spacing w:before="91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3" w:name="bookmark24"/>
      <w:bookmarkEnd w:id="23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7.1：温室气体与大气污染监测控制</w:t>
      </w:r>
    </w:p>
    <w:p w14:paraId="18C6DC37">
      <w:pPr>
        <w:spacing w:line="279" w:lineRule="auto"/>
        <w:rPr>
          <w:rFonts w:ascii="Arial"/>
          <w:sz w:val="21"/>
        </w:rPr>
      </w:pPr>
    </w:p>
    <w:p w14:paraId="60F40ED7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13FEA3B3">
      <w:pPr>
        <w:spacing w:before="290" w:line="412" w:lineRule="auto"/>
        <w:ind w:left="32" w:firstLine="56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温室气体排放与大气污染物排放在能源燃烧、工业生</w:t>
      </w:r>
      <w:r>
        <w:rPr>
          <w:rFonts w:ascii="仿宋" w:hAnsi="仿宋" w:eastAsia="仿宋" w:cs="仿宋"/>
          <w:spacing w:val="-5"/>
          <w:sz w:val="28"/>
          <w:szCs w:val="28"/>
        </w:rPr>
        <w:t>产和交通运</w:t>
      </w:r>
      <w:r>
        <w:rPr>
          <w:rFonts w:ascii="仿宋" w:hAnsi="仿宋" w:eastAsia="仿宋" w:cs="仿宋"/>
          <w:spacing w:val="-4"/>
          <w:sz w:val="28"/>
          <w:szCs w:val="28"/>
        </w:rPr>
        <w:t>输等环节高度同源。开展碳排放监测、大气污染物控制和源解析，有</w:t>
      </w:r>
      <w:r>
        <w:rPr>
          <w:rFonts w:ascii="仿宋" w:hAnsi="仿宋" w:eastAsia="仿宋" w:cs="仿宋"/>
          <w:spacing w:val="-5"/>
          <w:sz w:val="28"/>
          <w:szCs w:val="28"/>
        </w:rPr>
        <w:t>助于实现减污降碳协同增效，提升环境治理和气候治理的一体化水平。</w:t>
      </w:r>
    </w:p>
    <w:p w14:paraId="13556796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264711E2">
      <w:pPr>
        <w:spacing w:before="293" w:line="216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1.温室气体在线监测、遥感监测和排放清单构建</w:t>
      </w:r>
    </w:p>
    <w:p w14:paraId="608BDD98">
      <w:pPr>
        <w:spacing w:before="297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2.大气污染物与温室气体协同控制技术</w:t>
      </w:r>
    </w:p>
    <w:p w14:paraId="5678C082">
      <w:pPr>
        <w:spacing w:before="294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3.源解析、排放因子、排放核算和数据质量控制</w:t>
      </w:r>
    </w:p>
    <w:p w14:paraId="73F590C2">
      <w:pPr>
        <w:spacing w:before="295"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4.重点行业、园区、城市多尺度监测网络与预警平台</w:t>
      </w:r>
    </w:p>
    <w:p w14:paraId="04167724">
      <w:pPr>
        <w:spacing w:before="295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5.减污降碳协同效益评估和治理策略优化</w:t>
      </w:r>
    </w:p>
    <w:p w14:paraId="71DBDABA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25" w:type="default"/>
          <w:pgSz w:w="11907" w:h="16839"/>
          <w:pgMar w:top="400" w:right="1557" w:bottom="1198" w:left="1785" w:header="0" w:footer="967" w:gutter="0"/>
          <w:cols w:space="720" w:num="1"/>
        </w:sectPr>
      </w:pPr>
    </w:p>
    <w:p w14:paraId="1467DDDD">
      <w:pPr>
        <w:spacing w:line="278" w:lineRule="auto"/>
        <w:rPr>
          <w:rFonts w:ascii="Arial"/>
          <w:sz w:val="21"/>
        </w:rPr>
      </w:pPr>
    </w:p>
    <w:p w14:paraId="5DA934DC">
      <w:pPr>
        <w:spacing w:line="278" w:lineRule="auto"/>
        <w:rPr>
          <w:rFonts w:ascii="Arial"/>
          <w:sz w:val="21"/>
        </w:rPr>
      </w:pPr>
    </w:p>
    <w:p w14:paraId="3BA20D58">
      <w:pPr>
        <w:spacing w:line="279" w:lineRule="auto"/>
        <w:rPr>
          <w:rFonts w:ascii="Arial"/>
          <w:sz w:val="21"/>
        </w:rPr>
      </w:pPr>
    </w:p>
    <w:p w14:paraId="3F673E78">
      <w:pPr>
        <w:spacing w:line="279" w:lineRule="auto"/>
        <w:rPr>
          <w:rFonts w:ascii="Arial"/>
          <w:sz w:val="21"/>
        </w:rPr>
      </w:pPr>
    </w:p>
    <w:p w14:paraId="6DA96390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4" w:name="bookmark25"/>
      <w:bookmarkEnd w:id="24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7.2：固废、废水与土壤低碳处理</w:t>
      </w:r>
    </w:p>
    <w:p w14:paraId="17D18837">
      <w:pPr>
        <w:spacing w:line="277" w:lineRule="auto"/>
        <w:rPr>
          <w:rFonts w:ascii="Arial"/>
          <w:sz w:val="21"/>
        </w:rPr>
      </w:pPr>
    </w:p>
    <w:p w14:paraId="54D4F916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11F54048">
      <w:pPr>
        <w:spacing w:before="293" w:line="411" w:lineRule="auto"/>
        <w:ind w:left="39" w:right="11" w:firstLine="58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固废、废水和污染土壤处理既承担环境治理功能，也会产生能源</w:t>
      </w:r>
      <w:r>
        <w:rPr>
          <w:rFonts w:ascii="仿宋" w:hAnsi="仿宋" w:eastAsia="仿宋" w:cs="仿宋"/>
          <w:spacing w:val="-4"/>
          <w:sz w:val="28"/>
          <w:szCs w:val="28"/>
        </w:rPr>
        <w:t>消耗、甲烷、氧化亚氮和二氧化碳排放。通过低碳工艺、资源能源回</w:t>
      </w:r>
      <w:r>
        <w:rPr>
          <w:rFonts w:ascii="仿宋" w:hAnsi="仿宋" w:eastAsia="仿宋" w:cs="仿宋"/>
          <w:spacing w:val="-3"/>
          <w:sz w:val="28"/>
          <w:szCs w:val="28"/>
        </w:rPr>
        <w:t>收和过程优化，可以在污染治理中同步实现碳减排。</w:t>
      </w:r>
    </w:p>
    <w:p w14:paraId="54F9CFA9">
      <w:pPr>
        <w:spacing w:line="218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678F6642">
      <w:pPr>
        <w:spacing w:before="294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1.垃圾焚烧、填埋的甲烷控制和固废资源化利用</w:t>
      </w:r>
    </w:p>
    <w:p w14:paraId="4653B7DA">
      <w:pPr>
        <w:spacing w:before="293" w:line="218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2.污水处理节能降耗、污泥资源化和能源回收</w:t>
      </w:r>
    </w:p>
    <w:p w14:paraId="274403C4">
      <w:pPr>
        <w:spacing w:before="293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3.污染土壤低碳修复、植物修复和稳定化技术</w:t>
      </w:r>
    </w:p>
    <w:p w14:paraId="0F1D5A3D">
      <w:pPr>
        <w:spacing w:before="297" w:line="218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4.废水、固废、土壤处理过程碳排放核算和工艺优化</w:t>
      </w:r>
    </w:p>
    <w:p w14:paraId="293E981A">
      <w:pPr>
        <w:spacing w:before="293" w:line="219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5.减污、降碳、资源化协同的综合治理方案</w:t>
      </w:r>
    </w:p>
    <w:p w14:paraId="34FC1D2F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26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283892B7">
      <w:pPr>
        <w:spacing w:line="278" w:lineRule="auto"/>
        <w:rPr>
          <w:rFonts w:ascii="Arial"/>
          <w:sz w:val="21"/>
        </w:rPr>
      </w:pPr>
    </w:p>
    <w:p w14:paraId="411F0DC2">
      <w:pPr>
        <w:spacing w:line="278" w:lineRule="auto"/>
        <w:rPr>
          <w:rFonts w:ascii="Arial"/>
          <w:sz w:val="21"/>
        </w:rPr>
      </w:pPr>
    </w:p>
    <w:p w14:paraId="2D49C5A6">
      <w:pPr>
        <w:spacing w:line="279" w:lineRule="auto"/>
        <w:rPr>
          <w:rFonts w:ascii="Arial"/>
          <w:sz w:val="21"/>
        </w:rPr>
      </w:pPr>
    </w:p>
    <w:p w14:paraId="52D27C03">
      <w:pPr>
        <w:spacing w:line="279" w:lineRule="auto"/>
        <w:rPr>
          <w:rFonts w:ascii="Arial"/>
          <w:sz w:val="21"/>
        </w:rPr>
      </w:pPr>
    </w:p>
    <w:p w14:paraId="564AC239">
      <w:pPr>
        <w:spacing w:before="91" w:line="217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5" w:name="bookmark26"/>
      <w:bookmarkEnd w:id="25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7.3：循环经济与零碳园区</w:t>
      </w:r>
    </w:p>
    <w:p w14:paraId="4AC7F0FC">
      <w:pPr>
        <w:spacing w:line="280" w:lineRule="auto"/>
        <w:rPr>
          <w:rFonts w:ascii="Arial"/>
          <w:sz w:val="21"/>
        </w:rPr>
      </w:pPr>
    </w:p>
    <w:p w14:paraId="15ABB5AC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2A8F71C0">
      <w:pPr>
        <w:spacing w:before="298" w:line="411" w:lineRule="auto"/>
        <w:ind w:left="32" w:right="8" w:firstLine="56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循环经济通过减少资源消耗、延长产品寿命和提升废弃</w:t>
      </w:r>
      <w:r>
        <w:rPr>
          <w:rFonts w:ascii="仿宋" w:hAnsi="仿宋" w:eastAsia="仿宋" w:cs="仿宋"/>
          <w:spacing w:val="-5"/>
          <w:sz w:val="28"/>
          <w:szCs w:val="28"/>
        </w:rPr>
        <w:t>物利用效</w:t>
      </w:r>
      <w:r>
        <w:rPr>
          <w:rFonts w:ascii="仿宋" w:hAnsi="仿宋" w:eastAsia="仿宋" w:cs="仿宋"/>
          <w:spacing w:val="-10"/>
          <w:sz w:val="28"/>
          <w:szCs w:val="28"/>
        </w:rPr>
        <w:t>率，从源头降低全社会碳排放。关键矿产（锂、钴、镍、稀土等）</w:t>
      </w:r>
      <w:r>
        <w:rPr>
          <w:rFonts w:ascii="仿宋" w:hAnsi="仿宋" w:eastAsia="仿宋" w:cs="仿宋"/>
          <w:spacing w:val="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的</w:t>
      </w:r>
      <w:r>
        <w:rPr>
          <w:rFonts w:ascii="仿宋" w:hAnsi="仿宋" w:eastAsia="仿宋" w:cs="仿宋"/>
          <w:spacing w:val="-4"/>
          <w:sz w:val="28"/>
          <w:szCs w:val="28"/>
        </w:rPr>
        <w:t>回收与再生利用是循环经济的重要组成部分，可减少对原生矿产的开采需求，降低能源转型对资源供应的依赖和碳排放。零碳工厂和零碳园区聚焦于工厂和园区尺度，追求能源、物料、废弃物、产业链和管理平台之间的系统协同，以同时实现净零排放目标和产业集群经济效益。零碳园区是循环经济理念在区域产业组织中的具体应用场景，借</w:t>
      </w:r>
      <w:r>
        <w:rPr>
          <w:rFonts w:ascii="仿宋" w:hAnsi="仿宋" w:eastAsia="仿宋" w:cs="仿宋"/>
          <w:spacing w:val="-1"/>
          <w:sz w:val="28"/>
          <w:szCs w:val="28"/>
        </w:rPr>
        <w:t>助资源的高效循环和闭环流动，支撑园区排放最小化。</w:t>
      </w:r>
    </w:p>
    <w:p w14:paraId="712E647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525AAB2D">
      <w:pPr>
        <w:spacing w:before="295" w:line="411" w:lineRule="auto"/>
        <w:ind w:left="43" w:right="13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1.废弃物资源化回收与再制造技术（湿法冶金、火法冶金、直接回收</w:t>
      </w:r>
      <w:r>
        <w:rPr>
          <w:rFonts w:ascii="仿宋" w:hAnsi="仿宋" w:eastAsia="仿宋" w:cs="仿宋"/>
          <w:spacing w:val="-1"/>
          <w:sz w:val="28"/>
          <w:szCs w:val="28"/>
        </w:rPr>
        <w:t>等关键矿产回收技术、电池正极材料再生制备、稀土金属提纯等）</w:t>
      </w:r>
    </w:p>
    <w:p w14:paraId="53CE645F">
      <w:pPr>
        <w:spacing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2.产业共生、余热余压利用和园区物质能量耦合</w:t>
      </w:r>
    </w:p>
    <w:p w14:paraId="2143E92B">
      <w:pPr>
        <w:spacing w:before="293" w:line="412" w:lineRule="auto"/>
        <w:ind w:left="38" w:right="52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3.零碳工厂/园区能源系统与碳管理（可再生</w:t>
      </w:r>
      <w:r>
        <w:rPr>
          <w:rFonts w:ascii="仿宋" w:hAnsi="仿宋" w:eastAsia="仿宋" w:cs="仿宋"/>
          <w:spacing w:val="-1"/>
          <w:sz w:val="28"/>
          <w:szCs w:val="28"/>
        </w:rPr>
        <w:t>能源替代、储能配置、</w:t>
      </w:r>
      <w:r>
        <w:rPr>
          <w:rFonts w:ascii="仿宋" w:hAnsi="仿宋" w:eastAsia="仿宋" w:cs="仿宋"/>
          <w:spacing w:val="-2"/>
          <w:sz w:val="28"/>
          <w:szCs w:val="28"/>
        </w:rPr>
        <w:t>工厂/园区净零排放路径设计与认证）</w:t>
      </w:r>
    </w:p>
    <w:p w14:paraId="7AD2770E">
      <w:pPr>
        <w:spacing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4.循环经济商业模式、产品全生命周期和绿色供应链</w:t>
      </w:r>
    </w:p>
    <w:p w14:paraId="35ED9186">
      <w:pPr>
        <w:spacing w:before="295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5.园区碳排放核算、绩效评价和认证标准体系</w:t>
      </w:r>
    </w:p>
    <w:p w14:paraId="538BDFAA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27" w:type="default"/>
          <w:pgSz w:w="11907" w:h="16839"/>
          <w:pgMar w:top="400" w:right="1785" w:bottom="1198" w:left="1785" w:header="0" w:footer="966" w:gutter="0"/>
          <w:cols w:space="720" w:num="1"/>
        </w:sectPr>
      </w:pPr>
    </w:p>
    <w:p w14:paraId="3F71CD47">
      <w:pPr>
        <w:spacing w:line="271" w:lineRule="auto"/>
        <w:rPr>
          <w:rFonts w:ascii="Arial"/>
          <w:sz w:val="21"/>
        </w:rPr>
      </w:pPr>
    </w:p>
    <w:p w14:paraId="5B0B7F0D">
      <w:pPr>
        <w:spacing w:line="271" w:lineRule="auto"/>
        <w:rPr>
          <w:rFonts w:ascii="Arial"/>
          <w:sz w:val="21"/>
        </w:rPr>
      </w:pPr>
    </w:p>
    <w:p w14:paraId="5B6FC9BF">
      <w:pPr>
        <w:spacing w:line="272" w:lineRule="auto"/>
        <w:rPr>
          <w:rFonts w:ascii="Arial"/>
          <w:sz w:val="21"/>
        </w:rPr>
      </w:pPr>
    </w:p>
    <w:p w14:paraId="6D0C5D5F">
      <w:pPr>
        <w:spacing w:line="272" w:lineRule="auto"/>
        <w:rPr>
          <w:rFonts w:ascii="Arial"/>
          <w:sz w:val="21"/>
        </w:rPr>
      </w:pPr>
    </w:p>
    <w:p w14:paraId="187EB7D4">
      <w:pPr>
        <w:spacing w:before="100" w:line="238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26" w:name="bookmark27"/>
      <w:bookmarkEnd w:id="26"/>
      <w:r>
        <w:rPr>
          <w:rFonts w:ascii="黑体" w:hAnsi="黑体" w:eastAsia="黑体" w:cs="黑体"/>
          <w:spacing w:val="7"/>
          <w:sz w:val="31"/>
          <w:szCs w:val="31"/>
        </w:rPr>
        <w:t>赛道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Arial" w:hAnsi="Arial" w:eastAsia="Arial" w:cs="Arial"/>
          <w:spacing w:val="7"/>
          <w:sz w:val="31"/>
          <w:szCs w:val="31"/>
        </w:rPr>
        <w:t>8</w:t>
      </w:r>
      <w:r>
        <w:rPr>
          <w:rFonts w:ascii="黑体" w:hAnsi="黑体" w:eastAsia="黑体" w:cs="黑体"/>
          <w:spacing w:val="7"/>
          <w:sz w:val="31"/>
          <w:szCs w:val="31"/>
        </w:rPr>
        <w:t>：气候机理、韧性与适应</w:t>
      </w:r>
    </w:p>
    <w:p w14:paraId="14409005">
      <w:pPr>
        <w:spacing w:line="310" w:lineRule="auto"/>
        <w:rPr>
          <w:rFonts w:ascii="Arial"/>
          <w:sz w:val="21"/>
        </w:rPr>
      </w:pPr>
    </w:p>
    <w:p w14:paraId="683B4195">
      <w:pPr>
        <w:spacing w:before="91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7" w:name="bookmark28"/>
      <w:bookmarkEnd w:id="27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8.1：碳源汇监测与气候系统机理</w:t>
      </w:r>
    </w:p>
    <w:p w14:paraId="5EC3B969">
      <w:pPr>
        <w:spacing w:line="279" w:lineRule="auto"/>
        <w:rPr>
          <w:rFonts w:ascii="Arial"/>
          <w:sz w:val="21"/>
        </w:rPr>
      </w:pPr>
    </w:p>
    <w:p w14:paraId="1A49F68F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515C5E56">
      <w:pPr>
        <w:spacing w:before="290" w:line="412" w:lineRule="auto"/>
        <w:ind w:left="33" w:right="12" w:firstLine="56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准确理解碳源汇变化和气候系统机理，是制定减排政策和</w:t>
      </w:r>
      <w:r>
        <w:rPr>
          <w:rFonts w:ascii="仿宋" w:hAnsi="仿宋" w:eastAsia="仿宋" w:cs="仿宋"/>
          <w:spacing w:val="-5"/>
          <w:sz w:val="28"/>
          <w:szCs w:val="28"/>
        </w:rPr>
        <w:t>适应策</w:t>
      </w:r>
      <w:r>
        <w:rPr>
          <w:rFonts w:ascii="仿宋" w:hAnsi="仿宋" w:eastAsia="仿宋" w:cs="仿宋"/>
          <w:spacing w:val="-4"/>
          <w:sz w:val="28"/>
          <w:szCs w:val="28"/>
        </w:rPr>
        <w:t>略的科学基础。全球与区域碳循环、温室气体遥感、气候模式和极端</w:t>
      </w:r>
      <w:r>
        <w:rPr>
          <w:rFonts w:ascii="仿宋" w:hAnsi="仿宋" w:eastAsia="仿宋" w:cs="仿宋"/>
          <w:spacing w:val="-2"/>
          <w:sz w:val="28"/>
          <w:szCs w:val="28"/>
        </w:rPr>
        <w:t>事件归因等研究，可支撑碳中和目标评估和气候风险预警。</w:t>
      </w:r>
    </w:p>
    <w:p w14:paraId="74511340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6729F913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1.全球/区域碳循环过程、碳源汇格局和驱动机制</w:t>
      </w:r>
    </w:p>
    <w:p w14:paraId="7792D377">
      <w:pPr>
        <w:spacing w:before="293" w:line="219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2.温室气体遥感反演、地面观测和多源数据融合</w:t>
      </w:r>
    </w:p>
    <w:p w14:paraId="230B4F38">
      <w:pPr>
        <w:spacing w:before="292" w:line="219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3.地球系统模式、陆-气-海-冰多圈层耦合与情景模拟</w:t>
      </w:r>
    </w:p>
    <w:p w14:paraId="14DCBBDF">
      <w:pPr>
        <w:spacing w:before="294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4.极端天气气候事件归因、动力诊断、预测和影响评估</w:t>
      </w:r>
    </w:p>
    <w:p w14:paraId="5E437094">
      <w:pPr>
        <w:spacing w:before="296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5.碳源汇监测数据同化产品、模型验证和不确定性分析</w:t>
      </w:r>
    </w:p>
    <w:p w14:paraId="7E808BCF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28" w:type="default"/>
          <w:pgSz w:w="11907" w:h="16839"/>
          <w:pgMar w:top="400" w:right="1785" w:bottom="1198" w:left="1785" w:header="0" w:footer="966" w:gutter="0"/>
          <w:cols w:space="720" w:num="1"/>
        </w:sectPr>
      </w:pPr>
    </w:p>
    <w:p w14:paraId="2F90149E">
      <w:pPr>
        <w:spacing w:line="278" w:lineRule="auto"/>
        <w:rPr>
          <w:rFonts w:ascii="Arial"/>
          <w:sz w:val="21"/>
        </w:rPr>
      </w:pPr>
    </w:p>
    <w:p w14:paraId="25FCAEDD">
      <w:pPr>
        <w:spacing w:line="278" w:lineRule="auto"/>
        <w:rPr>
          <w:rFonts w:ascii="Arial"/>
          <w:sz w:val="21"/>
        </w:rPr>
      </w:pPr>
    </w:p>
    <w:p w14:paraId="055DF037">
      <w:pPr>
        <w:spacing w:line="279" w:lineRule="auto"/>
        <w:rPr>
          <w:rFonts w:ascii="Arial"/>
          <w:sz w:val="21"/>
        </w:rPr>
      </w:pPr>
    </w:p>
    <w:p w14:paraId="04E2E2FA">
      <w:pPr>
        <w:spacing w:line="279" w:lineRule="auto"/>
        <w:rPr>
          <w:rFonts w:ascii="Arial"/>
          <w:sz w:val="21"/>
        </w:rPr>
      </w:pPr>
    </w:p>
    <w:p w14:paraId="7FEA5213">
      <w:pPr>
        <w:spacing w:before="91" w:line="216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8" w:name="bookmark29"/>
      <w:bookmarkEnd w:id="28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8.2：气候风险、韧性与适应性建设</w:t>
      </w:r>
    </w:p>
    <w:p w14:paraId="23A5962B">
      <w:pPr>
        <w:spacing w:line="281" w:lineRule="auto"/>
        <w:rPr>
          <w:rFonts w:ascii="Arial"/>
          <w:sz w:val="21"/>
        </w:rPr>
      </w:pPr>
    </w:p>
    <w:p w14:paraId="09D29E46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186568E6">
      <w:pPr>
        <w:spacing w:before="289" w:line="412" w:lineRule="auto"/>
        <w:ind w:left="33" w:right="14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气候变化正在增加洪涝、热浪、干旱、海平面上升等风险，对城</w:t>
      </w:r>
      <w:r>
        <w:rPr>
          <w:rFonts w:ascii="仿宋" w:hAnsi="仿宋" w:eastAsia="仿宋" w:cs="仿宋"/>
          <w:spacing w:val="-4"/>
          <w:sz w:val="28"/>
          <w:szCs w:val="28"/>
        </w:rPr>
        <w:t>市安全、基础设施、农业生产和公共服务产生影响。开展气候风险评估和韧性建设，有助于提升社会系统对极端气候和慢性气候变化的适</w:t>
      </w:r>
      <w:r>
        <w:rPr>
          <w:rFonts w:ascii="仿宋" w:hAnsi="仿宋" w:eastAsia="仿宋" w:cs="仿宋"/>
          <w:spacing w:val="-2"/>
          <w:sz w:val="28"/>
          <w:szCs w:val="28"/>
        </w:rPr>
        <w:t>应能力，保障社会和经济的可持续发展。</w:t>
      </w:r>
    </w:p>
    <w:p w14:paraId="6C15271F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09277B84">
      <w:pPr>
        <w:spacing w:before="294" w:line="216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1.洪涝、热浪、干旱、海平面上升等单一和复合气候风</w:t>
      </w:r>
      <w:r>
        <w:rPr>
          <w:rFonts w:ascii="仿宋" w:hAnsi="仿宋" w:eastAsia="仿宋" w:cs="仿宋"/>
          <w:spacing w:val="-2"/>
          <w:sz w:val="28"/>
          <w:szCs w:val="28"/>
        </w:rPr>
        <w:t>险评估</w:t>
      </w:r>
    </w:p>
    <w:p w14:paraId="527C7A52">
      <w:pPr>
        <w:spacing w:before="296" w:line="216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2.城市、沿海、流域和基础设施韧性评估与韧性提升方案</w:t>
      </w:r>
    </w:p>
    <w:p w14:paraId="5F8F0705">
      <w:pPr>
        <w:spacing w:before="296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3.气候适应型规划、预警系统和应急管理机制</w:t>
      </w:r>
    </w:p>
    <w:p w14:paraId="672D5B8F">
      <w:pPr>
        <w:spacing w:before="293" w:line="218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自然基解决方案、海绵城市和生态缓冲空间设计</w:t>
      </w:r>
    </w:p>
    <w:p w14:paraId="6BD8045F">
      <w:pPr>
        <w:spacing w:before="294" w:line="215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5.适应措施的成本效益分析、分配公平性评估与转型路径设计</w:t>
      </w:r>
    </w:p>
    <w:p w14:paraId="65D8B9A5">
      <w:pPr>
        <w:spacing w:line="215" w:lineRule="auto"/>
        <w:rPr>
          <w:rFonts w:ascii="仿宋" w:hAnsi="仿宋" w:eastAsia="仿宋" w:cs="仿宋"/>
          <w:sz w:val="28"/>
          <w:szCs w:val="28"/>
        </w:rPr>
        <w:sectPr>
          <w:footerReference r:id="rId29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59C414C6">
      <w:pPr>
        <w:spacing w:line="278" w:lineRule="auto"/>
        <w:rPr>
          <w:rFonts w:ascii="Arial"/>
          <w:sz w:val="21"/>
        </w:rPr>
      </w:pPr>
    </w:p>
    <w:p w14:paraId="58FD9179">
      <w:pPr>
        <w:spacing w:line="278" w:lineRule="auto"/>
        <w:rPr>
          <w:rFonts w:ascii="Arial"/>
          <w:sz w:val="21"/>
        </w:rPr>
      </w:pPr>
    </w:p>
    <w:p w14:paraId="4C2AC203">
      <w:pPr>
        <w:spacing w:line="278" w:lineRule="auto"/>
        <w:rPr>
          <w:rFonts w:ascii="Arial"/>
          <w:sz w:val="21"/>
        </w:rPr>
      </w:pPr>
    </w:p>
    <w:p w14:paraId="16E27B1F">
      <w:pPr>
        <w:spacing w:line="279" w:lineRule="auto"/>
        <w:rPr>
          <w:rFonts w:ascii="Arial"/>
          <w:sz w:val="21"/>
        </w:rPr>
      </w:pPr>
    </w:p>
    <w:p w14:paraId="1477B73F">
      <w:pPr>
        <w:spacing w:before="91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29" w:name="bookmark30"/>
      <w:bookmarkEnd w:id="29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8.3：气候变化与健康影响</w:t>
      </w:r>
    </w:p>
    <w:p w14:paraId="0C7D3AB5">
      <w:pPr>
        <w:spacing w:line="279" w:lineRule="auto"/>
        <w:rPr>
          <w:rFonts w:ascii="Arial"/>
          <w:sz w:val="21"/>
        </w:rPr>
      </w:pPr>
    </w:p>
    <w:p w14:paraId="5D1F3FD3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0B6EFC17">
      <w:pPr>
        <w:spacing w:before="290" w:line="412" w:lineRule="auto"/>
        <w:ind w:left="33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气候变化通过高温热浪、空气污染、传染病媒介扩散、极端天气</w:t>
      </w:r>
      <w:r>
        <w:rPr>
          <w:rFonts w:ascii="仿宋" w:hAnsi="仿宋" w:eastAsia="仿宋" w:cs="仿宋"/>
          <w:spacing w:val="-10"/>
          <w:sz w:val="28"/>
          <w:szCs w:val="28"/>
        </w:rPr>
        <w:t>和心理压力等路径影响公众健康。气候健康研究需要横跨气象、环境、</w:t>
      </w:r>
      <w:r>
        <w:rPr>
          <w:rFonts w:ascii="仿宋" w:hAnsi="仿宋" w:eastAsia="仿宋" w:cs="仿宋"/>
          <w:spacing w:val="-2"/>
          <w:sz w:val="28"/>
          <w:szCs w:val="28"/>
        </w:rPr>
        <w:t>医学和公共卫生领域，建立监测预警、风险评估和干预机制。</w:t>
      </w:r>
    </w:p>
    <w:p w14:paraId="49CDD54F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FED202D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1.热相关疾病、热暴露风险和高温健康预警</w:t>
      </w:r>
    </w:p>
    <w:p w14:paraId="31BD7F42">
      <w:pPr>
        <w:spacing w:before="294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2.气候变化对传染病媒介、过敏原和公共卫生风险的影响</w:t>
      </w:r>
    </w:p>
    <w:p w14:paraId="564ED0EA">
      <w:pPr>
        <w:spacing w:before="295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3.空气质量变化与呼吸、心血管健康效应评估</w:t>
      </w:r>
    </w:p>
    <w:p w14:paraId="0DAE30AE">
      <w:pPr>
        <w:spacing w:before="296"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4.极端事件后的心理干预、社区支持和脆弱</w:t>
      </w:r>
      <w:r>
        <w:rPr>
          <w:rFonts w:ascii="仿宋" w:hAnsi="仿宋" w:eastAsia="仿宋" w:cs="仿宋"/>
          <w:spacing w:val="-2"/>
          <w:sz w:val="28"/>
          <w:szCs w:val="28"/>
        </w:rPr>
        <w:t>人群保护</w:t>
      </w:r>
    </w:p>
    <w:p w14:paraId="57935E21">
      <w:pPr>
        <w:spacing w:before="295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5.气候-健康数据平台、健康风险沟通和适应性干预策略</w:t>
      </w:r>
    </w:p>
    <w:p w14:paraId="125329E0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30" w:type="default"/>
          <w:pgSz w:w="11907" w:h="16839"/>
          <w:pgMar w:top="400" w:right="1704" w:bottom="1198" w:left="1785" w:header="0" w:footer="966" w:gutter="0"/>
          <w:cols w:space="720" w:num="1"/>
        </w:sectPr>
      </w:pPr>
    </w:p>
    <w:p w14:paraId="67021B87">
      <w:pPr>
        <w:spacing w:line="271" w:lineRule="auto"/>
        <w:rPr>
          <w:rFonts w:ascii="Arial"/>
          <w:sz w:val="21"/>
        </w:rPr>
      </w:pPr>
    </w:p>
    <w:p w14:paraId="3E6889BD">
      <w:pPr>
        <w:spacing w:line="271" w:lineRule="auto"/>
        <w:rPr>
          <w:rFonts w:ascii="Arial"/>
          <w:sz w:val="21"/>
        </w:rPr>
      </w:pPr>
    </w:p>
    <w:p w14:paraId="370C6EB3">
      <w:pPr>
        <w:spacing w:line="271" w:lineRule="auto"/>
        <w:rPr>
          <w:rFonts w:ascii="Arial"/>
          <w:sz w:val="21"/>
        </w:rPr>
      </w:pPr>
    </w:p>
    <w:p w14:paraId="5E737F40">
      <w:pPr>
        <w:spacing w:line="272" w:lineRule="auto"/>
        <w:rPr>
          <w:rFonts w:ascii="Arial"/>
          <w:sz w:val="21"/>
        </w:rPr>
      </w:pPr>
    </w:p>
    <w:p w14:paraId="2682CFAF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30" w:name="bookmark31"/>
      <w:bookmarkEnd w:id="30"/>
      <w:r>
        <w:rPr>
          <w:rFonts w:ascii="黑体" w:hAnsi="黑体" w:eastAsia="黑体" w:cs="黑体"/>
          <w:spacing w:val="7"/>
          <w:sz w:val="31"/>
          <w:szCs w:val="31"/>
        </w:rPr>
        <w:t>赛道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Arial" w:hAnsi="Arial" w:eastAsia="Arial" w:cs="Arial"/>
          <w:spacing w:val="7"/>
          <w:sz w:val="31"/>
          <w:szCs w:val="31"/>
        </w:rPr>
        <w:t>9</w:t>
      </w:r>
      <w:r>
        <w:rPr>
          <w:rFonts w:ascii="黑体" w:hAnsi="黑体" w:eastAsia="黑体" w:cs="黑体"/>
          <w:spacing w:val="7"/>
          <w:sz w:val="31"/>
          <w:szCs w:val="31"/>
        </w:rPr>
        <w:t>：绿色经济、金融与治理</w:t>
      </w:r>
    </w:p>
    <w:p w14:paraId="1313E909">
      <w:pPr>
        <w:spacing w:line="313" w:lineRule="auto"/>
        <w:rPr>
          <w:rFonts w:ascii="Arial"/>
          <w:sz w:val="21"/>
        </w:rPr>
      </w:pPr>
    </w:p>
    <w:p w14:paraId="033E519F">
      <w:pPr>
        <w:spacing w:before="91" w:line="215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1" w:name="bookmark32"/>
      <w:bookmarkEnd w:id="31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9.1：碳中和转型治理</w:t>
      </w:r>
    </w:p>
    <w:p w14:paraId="7DBDA71C">
      <w:pPr>
        <w:spacing w:line="283" w:lineRule="auto"/>
        <w:rPr>
          <w:rFonts w:ascii="Arial"/>
          <w:sz w:val="21"/>
        </w:rPr>
      </w:pPr>
    </w:p>
    <w:p w14:paraId="65882106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2E60A0E0">
      <w:pPr>
        <w:spacing w:before="293" w:line="411" w:lineRule="auto"/>
        <w:ind w:left="34" w:firstLine="55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碳中和转型涉及能源、产业、区域、社会和国际合作等多重维度，</w:t>
      </w:r>
      <w:r>
        <w:rPr>
          <w:rFonts w:ascii="仿宋" w:hAnsi="仿宋" w:eastAsia="仿宋" w:cs="仿宋"/>
          <w:spacing w:val="-10"/>
          <w:sz w:val="28"/>
          <w:szCs w:val="28"/>
        </w:rPr>
        <w:t>需要在减排目标、发展质量、能源资源安全和社会公平之间形成统筹。</w:t>
      </w:r>
      <w:r>
        <w:rPr>
          <w:rFonts w:ascii="仿宋" w:hAnsi="仿宋" w:eastAsia="仿宋" w:cs="仿宋"/>
          <w:spacing w:val="-2"/>
          <w:sz w:val="28"/>
          <w:szCs w:val="28"/>
        </w:rPr>
        <w:t>科学的转型治理有助于明确路线图、政策工具和利益协调机制。</w:t>
      </w:r>
    </w:p>
    <w:p w14:paraId="7300897B">
      <w:pPr>
        <w:spacing w:before="1" w:line="218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6DA6BBCE">
      <w:pPr>
        <w:spacing w:before="293" w:line="217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1.国家、区域、行业碳中和战略与路径设计</w:t>
      </w:r>
    </w:p>
    <w:p w14:paraId="06284EF2">
      <w:pPr>
        <w:spacing w:before="295" w:line="215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2.重点行业转型政策、就业影响和公正转型机制</w:t>
      </w:r>
    </w:p>
    <w:p w14:paraId="1CC9DE29">
      <w:pPr>
        <w:spacing w:before="297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3.全球气候治理、国际规则和绿色贸易影响研究</w:t>
      </w:r>
    </w:p>
    <w:p w14:paraId="1AEB45AC">
      <w:pPr>
        <w:spacing w:before="295" w:line="216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4.碳中和治理绩效评估、政策组合和协同机制</w:t>
      </w:r>
    </w:p>
    <w:p w14:paraId="58F5B40D">
      <w:pPr>
        <w:spacing w:before="296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5.碳中和相关法律法规制度建设、绿色诉讼与企业合规</w:t>
      </w:r>
    </w:p>
    <w:p w14:paraId="76440EE7">
      <w:pPr>
        <w:spacing w:before="293" w:line="216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6.生物多样性、水、粮食等与碳协同治理</w:t>
      </w:r>
    </w:p>
    <w:p w14:paraId="2EE5520C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31" w:type="default"/>
          <w:pgSz w:w="11907" w:h="16839"/>
          <w:pgMar w:top="400" w:right="1699" w:bottom="1198" w:left="1785" w:header="0" w:footer="967" w:gutter="0"/>
          <w:cols w:space="720" w:num="1"/>
        </w:sectPr>
      </w:pPr>
    </w:p>
    <w:p w14:paraId="1E26CBDA">
      <w:pPr>
        <w:spacing w:line="278" w:lineRule="auto"/>
        <w:rPr>
          <w:rFonts w:ascii="Arial"/>
          <w:sz w:val="21"/>
        </w:rPr>
      </w:pPr>
    </w:p>
    <w:p w14:paraId="314C9339">
      <w:pPr>
        <w:spacing w:line="278" w:lineRule="auto"/>
        <w:rPr>
          <w:rFonts w:ascii="Arial"/>
          <w:sz w:val="21"/>
        </w:rPr>
      </w:pPr>
    </w:p>
    <w:p w14:paraId="1EC48F3B">
      <w:pPr>
        <w:spacing w:line="278" w:lineRule="auto"/>
        <w:rPr>
          <w:rFonts w:ascii="Arial"/>
          <w:sz w:val="21"/>
        </w:rPr>
      </w:pPr>
    </w:p>
    <w:p w14:paraId="53C6693E">
      <w:pPr>
        <w:spacing w:line="279" w:lineRule="auto"/>
        <w:rPr>
          <w:rFonts w:ascii="Arial"/>
          <w:sz w:val="21"/>
        </w:rPr>
      </w:pPr>
    </w:p>
    <w:p w14:paraId="04AB1037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2" w:name="bookmark33"/>
      <w:bookmarkEnd w:id="32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9.2：碳足迹与碳市场</w:t>
      </w:r>
    </w:p>
    <w:p w14:paraId="2A789E5A">
      <w:pPr>
        <w:spacing w:line="278" w:lineRule="auto"/>
        <w:rPr>
          <w:rFonts w:ascii="Arial"/>
          <w:sz w:val="21"/>
        </w:rPr>
      </w:pPr>
    </w:p>
    <w:p w14:paraId="2219C009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608B2EC2">
      <w:pPr>
        <w:spacing w:before="285" w:line="412" w:lineRule="auto"/>
        <w:ind w:left="33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碳足迹是对产品、组织或活动在全生命周期中产生的温室气</w:t>
      </w:r>
      <w:r>
        <w:rPr>
          <w:rFonts w:ascii="仿宋" w:hAnsi="仿宋" w:eastAsia="仿宋" w:cs="仿宋"/>
          <w:spacing w:val="-5"/>
          <w:sz w:val="28"/>
          <w:szCs w:val="28"/>
        </w:rPr>
        <w:t>体排</w:t>
      </w:r>
      <w:r>
        <w:rPr>
          <w:rFonts w:ascii="仿宋" w:hAnsi="仿宋" w:eastAsia="仿宋" w:cs="仿宋"/>
          <w:spacing w:val="-1"/>
          <w:sz w:val="28"/>
          <w:szCs w:val="28"/>
        </w:rPr>
        <w:t>放量的量化评估，为识别排放热点、推动减排行动提供了科学依据，</w:t>
      </w:r>
      <w:r>
        <w:rPr>
          <w:rFonts w:ascii="仿宋" w:hAnsi="仿宋" w:eastAsia="仿宋" w:cs="仿宋"/>
          <w:spacing w:val="2"/>
          <w:sz w:val="28"/>
          <w:szCs w:val="28"/>
        </w:rPr>
        <w:t>是碳市场中碳排放核算、报告与核查（</w:t>
      </w:r>
      <w:r>
        <w:rPr>
          <w:rFonts w:ascii="仿宋" w:hAnsi="仿宋" w:eastAsia="仿宋" w:cs="仿宋"/>
          <w:sz w:val="28"/>
          <w:szCs w:val="28"/>
        </w:rPr>
        <w:t>MRV</w:t>
      </w:r>
      <w:r>
        <w:rPr>
          <w:rFonts w:ascii="仿宋" w:hAnsi="仿宋" w:eastAsia="仿宋" w:cs="仿宋"/>
          <w:spacing w:val="2"/>
          <w:sz w:val="28"/>
          <w:szCs w:val="28"/>
        </w:rPr>
        <w:t>）体系的重要技术基础。</w:t>
      </w:r>
      <w:r>
        <w:rPr>
          <w:rFonts w:ascii="仿宋" w:hAnsi="仿宋" w:eastAsia="仿宋" w:cs="仿宋"/>
          <w:spacing w:val="-4"/>
          <w:sz w:val="28"/>
          <w:szCs w:val="28"/>
        </w:rPr>
        <w:t>碳市场通过设定碳排放总量并允许配额交易，以市场化机制实现减排成本的最小化配置，碳市场的价格信号能引导各主体优先降低碳足迹较高的环节。当前国际碳边境调节机制倒逼碳足迹标准互通、以及数字化核查技术提升碳市场透明度，但同时面临不同区域与行业的碳足迹方法学尚未统一、碳市场覆盖范围有限、中小企业参与门槛较高等</w:t>
      </w:r>
      <w:r>
        <w:rPr>
          <w:rFonts w:ascii="仿宋" w:hAnsi="仿宋" w:eastAsia="仿宋" w:cs="仿宋"/>
          <w:spacing w:val="-6"/>
          <w:sz w:val="28"/>
          <w:szCs w:val="28"/>
        </w:rPr>
        <w:t>挑战。</w:t>
      </w:r>
    </w:p>
    <w:p w14:paraId="366DC87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341DE8EB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产品、企业、供应链碳足迹核算和碳标签方法</w:t>
      </w:r>
    </w:p>
    <w:p w14:paraId="7F7814E4">
      <w:pPr>
        <w:spacing w:before="294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第三方核查和数字化碳管理平台</w:t>
      </w:r>
    </w:p>
    <w:p w14:paraId="4DABF6FD">
      <w:pPr>
        <w:spacing w:before="294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碳市场配额分配、交易机制、价格形成和履约管理</w:t>
      </w:r>
    </w:p>
    <w:p w14:paraId="42D310A5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32" w:type="default"/>
          <w:pgSz w:w="11907" w:h="16839"/>
          <w:pgMar w:top="400" w:right="1712" w:bottom="1198" w:left="1785" w:header="0" w:footer="967" w:gutter="0"/>
          <w:cols w:space="720" w:num="1"/>
        </w:sectPr>
      </w:pPr>
    </w:p>
    <w:p w14:paraId="58B3D405">
      <w:pPr>
        <w:spacing w:line="278" w:lineRule="auto"/>
        <w:rPr>
          <w:rFonts w:ascii="Arial"/>
          <w:sz w:val="21"/>
        </w:rPr>
      </w:pPr>
    </w:p>
    <w:p w14:paraId="1A9A8A55">
      <w:pPr>
        <w:spacing w:line="278" w:lineRule="auto"/>
        <w:rPr>
          <w:rFonts w:ascii="Arial"/>
          <w:sz w:val="21"/>
        </w:rPr>
      </w:pPr>
    </w:p>
    <w:p w14:paraId="0030EF36">
      <w:pPr>
        <w:spacing w:line="279" w:lineRule="auto"/>
        <w:rPr>
          <w:rFonts w:ascii="Arial"/>
          <w:sz w:val="21"/>
        </w:rPr>
      </w:pPr>
    </w:p>
    <w:p w14:paraId="0764E6AE">
      <w:pPr>
        <w:spacing w:line="279" w:lineRule="auto"/>
        <w:rPr>
          <w:rFonts w:ascii="Arial"/>
          <w:sz w:val="21"/>
        </w:rPr>
      </w:pPr>
    </w:p>
    <w:p w14:paraId="2024C61D">
      <w:pPr>
        <w:spacing w:before="91" w:line="217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3" w:name="bookmark34"/>
      <w:bookmarkEnd w:id="33"/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赛题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9.3：绿色经济与金融</w:t>
      </w:r>
    </w:p>
    <w:p w14:paraId="0BCE9550">
      <w:pPr>
        <w:spacing w:line="280" w:lineRule="auto"/>
        <w:rPr>
          <w:rFonts w:ascii="Arial"/>
          <w:sz w:val="21"/>
        </w:rPr>
      </w:pPr>
    </w:p>
    <w:p w14:paraId="38FFFB0E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559AE9B0">
      <w:pPr>
        <w:spacing w:before="297" w:line="411" w:lineRule="auto"/>
        <w:ind w:left="29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绿色经济以资源节约和环境友好为核心特征，强调</w:t>
      </w:r>
      <w:r>
        <w:rPr>
          <w:rFonts w:ascii="仿宋" w:hAnsi="仿宋" w:eastAsia="仿宋" w:cs="仿宋"/>
          <w:spacing w:val="-5"/>
          <w:sz w:val="28"/>
          <w:szCs w:val="28"/>
        </w:rPr>
        <w:t>经济增长与碳</w:t>
      </w:r>
      <w:r>
        <w:rPr>
          <w:rFonts w:ascii="仿宋" w:hAnsi="仿宋" w:eastAsia="仿宋" w:cs="仿宋"/>
          <w:spacing w:val="-13"/>
          <w:sz w:val="28"/>
          <w:szCs w:val="28"/>
        </w:rPr>
        <w:t>排放脱钩，是全球可持续发展的关键支柱。绿色金融通过信贷、债券、</w:t>
      </w:r>
      <w:r>
        <w:rPr>
          <w:rFonts w:ascii="仿宋" w:hAnsi="仿宋" w:eastAsia="仿宋" w:cs="仿宋"/>
          <w:spacing w:val="-1"/>
          <w:sz w:val="28"/>
          <w:szCs w:val="28"/>
        </w:rPr>
        <w:t>基金、保险等金融工具，为绿色经济活动提供风险定价与融资服务，</w:t>
      </w:r>
      <w:r>
        <w:rPr>
          <w:rFonts w:ascii="仿宋" w:hAnsi="仿宋" w:eastAsia="仿宋" w:cs="仿宋"/>
          <w:spacing w:val="-4"/>
          <w:sz w:val="28"/>
          <w:szCs w:val="28"/>
        </w:rPr>
        <w:t>引导资本投向低碳技术、绿色产业和生态保护，是绿色经济规模化发展的关键引擎。当前，绿色经济与金融面临标准不统一、信息披露不足、绿色溢价偏高等挑战，同时也迎来碳市场扩容、转型金融兴起及数字化赋能等重大机遇。</w:t>
      </w:r>
    </w:p>
    <w:p w14:paraId="361FD7C3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4D52C24E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1.企业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ESG、碳信息披露和气候风险管理</w:t>
      </w:r>
    </w:p>
    <w:p w14:paraId="61E773B0">
      <w:pPr>
        <w:spacing w:before="294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2.低碳产业经济政策、绿色消费和贸易规则影响</w:t>
      </w:r>
    </w:p>
    <w:p w14:paraId="2F8797F2">
      <w:pPr>
        <w:spacing w:before="295" w:line="21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3.绿色信贷、债券、期货、期权、回购等绿色金融产品和风险管理</w:t>
      </w:r>
    </w:p>
    <w:p w14:paraId="7A10317B">
      <w:pPr>
        <w:spacing w:before="295"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4.碳普惠、个人碳账户、居民低碳行为干预</w:t>
      </w:r>
      <w:r>
        <w:rPr>
          <w:rFonts w:ascii="仿宋" w:hAnsi="仿宋" w:eastAsia="仿宋" w:cs="仿宋"/>
          <w:spacing w:val="-1"/>
          <w:sz w:val="28"/>
          <w:szCs w:val="28"/>
        </w:rPr>
        <w:t>等消费端碳减排机制</w:t>
      </w:r>
    </w:p>
    <w:p w14:paraId="2490FF9D">
      <w:pPr>
        <w:spacing w:line="217" w:lineRule="auto"/>
        <w:rPr>
          <w:rFonts w:ascii="仿宋" w:hAnsi="仿宋" w:eastAsia="仿宋" w:cs="仿宋"/>
          <w:sz w:val="28"/>
          <w:szCs w:val="28"/>
        </w:rPr>
        <w:sectPr>
          <w:footerReference r:id="rId33" w:type="default"/>
          <w:pgSz w:w="11907" w:h="16839"/>
          <w:pgMar w:top="400" w:right="1712" w:bottom="1198" w:left="1785" w:header="0" w:footer="967" w:gutter="0"/>
          <w:cols w:space="720" w:num="1"/>
        </w:sectPr>
      </w:pPr>
    </w:p>
    <w:p w14:paraId="66DD2444">
      <w:pPr>
        <w:spacing w:line="278" w:lineRule="auto"/>
        <w:rPr>
          <w:rFonts w:ascii="Arial"/>
          <w:sz w:val="21"/>
        </w:rPr>
      </w:pPr>
    </w:p>
    <w:p w14:paraId="4F162ABE">
      <w:pPr>
        <w:spacing w:line="278" w:lineRule="auto"/>
        <w:rPr>
          <w:rFonts w:ascii="Arial"/>
          <w:sz w:val="21"/>
        </w:rPr>
      </w:pPr>
    </w:p>
    <w:p w14:paraId="59D0D72D">
      <w:pPr>
        <w:spacing w:line="278" w:lineRule="auto"/>
        <w:rPr>
          <w:rFonts w:ascii="Arial"/>
          <w:sz w:val="21"/>
        </w:rPr>
      </w:pPr>
    </w:p>
    <w:p w14:paraId="28F85E62">
      <w:pPr>
        <w:spacing w:line="279" w:lineRule="auto"/>
        <w:rPr>
          <w:rFonts w:ascii="Arial"/>
          <w:sz w:val="21"/>
        </w:rPr>
      </w:pPr>
    </w:p>
    <w:p w14:paraId="096340D4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4" w:name="bookmark35"/>
      <w:bookmarkEnd w:id="34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赛题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9.4：关键矿产治理</w:t>
      </w:r>
    </w:p>
    <w:p w14:paraId="562A8893">
      <w:pPr>
        <w:spacing w:line="278" w:lineRule="auto"/>
        <w:rPr>
          <w:rFonts w:ascii="Arial"/>
          <w:sz w:val="21"/>
        </w:rPr>
      </w:pPr>
    </w:p>
    <w:p w14:paraId="29D2B506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171330F7">
      <w:pPr>
        <w:spacing w:before="296" w:line="411" w:lineRule="auto"/>
        <w:ind w:left="20" w:firstLine="57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风电、光伏、电动车、储能、氢能等低碳技术高度依赖锂、钴、</w:t>
      </w:r>
      <w:r>
        <w:rPr>
          <w:rFonts w:ascii="仿宋" w:hAnsi="仿宋" w:eastAsia="仿宋" w:cs="仿宋"/>
          <w:spacing w:val="-3"/>
          <w:sz w:val="28"/>
          <w:szCs w:val="28"/>
        </w:rPr>
        <w:t>镍、稀土、铜、石墨等关键矿产。全球能源转</w:t>
      </w:r>
      <w:r>
        <w:rPr>
          <w:rFonts w:ascii="仿宋" w:hAnsi="仿宋" w:eastAsia="仿宋" w:cs="仿宋"/>
          <w:spacing w:val="-4"/>
          <w:sz w:val="28"/>
          <w:szCs w:val="28"/>
        </w:rPr>
        <w:t>型将推动关键矿产需求</w:t>
      </w:r>
      <w:r>
        <w:rPr>
          <w:rFonts w:ascii="仿宋" w:hAnsi="仿宋" w:eastAsia="仿宋" w:cs="仿宋"/>
          <w:sz w:val="28"/>
          <w:szCs w:val="28"/>
        </w:rPr>
        <w:t>大幅增长，但资源分布高度集中、地缘政治风险、开采加</w:t>
      </w:r>
      <w:r>
        <w:rPr>
          <w:rFonts w:ascii="仿宋" w:hAnsi="仿宋" w:eastAsia="仿宋" w:cs="仿宋"/>
          <w:spacing w:val="-1"/>
          <w:sz w:val="28"/>
          <w:szCs w:val="28"/>
        </w:rPr>
        <w:t>工碳排放、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ESG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争议、回收体系不完善等问题，对供应链韧性和绿色属性构成挑</w:t>
      </w:r>
      <w:r>
        <w:rPr>
          <w:rFonts w:ascii="仿宋" w:hAnsi="仿宋" w:eastAsia="仿宋" w:cs="仿宋"/>
          <w:spacing w:val="-3"/>
          <w:sz w:val="28"/>
          <w:szCs w:val="28"/>
        </w:rPr>
        <w:t>战。建立安全、可持续、可追溯的关键矿产与</w:t>
      </w:r>
      <w:r>
        <w:rPr>
          <w:rFonts w:ascii="仿宋" w:hAnsi="仿宋" w:eastAsia="仿宋" w:cs="仿宋"/>
          <w:spacing w:val="-4"/>
          <w:sz w:val="28"/>
          <w:szCs w:val="28"/>
        </w:rPr>
        <w:t>绿色供应链，是支撑碳</w:t>
      </w:r>
      <w:r>
        <w:rPr>
          <w:rFonts w:ascii="仿宋" w:hAnsi="仿宋" w:eastAsia="仿宋" w:cs="仿宋"/>
          <w:spacing w:val="-3"/>
          <w:sz w:val="28"/>
          <w:szCs w:val="28"/>
        </w:rPr>
        <w:t>中和目标的基础性议题。</w:t>
      </w:r>
    </w:p>
    <w:p w14:paraId="5E44F693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5D962F94">
      <w:pPr>
        <w:spacing w:before="294" w:line="216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1.关键矿产供需预测与供应链韧性风险评估</w:t>
      </w:r>
    </w:p>
    <w:p w14:paraId="1A43AA93">
      <w:pPr>
        <w:spacing w:before="294" w:line="412" w:lineRule="auto"/>
        <w:ind w:left="20" w:right="2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2.关键矿产碳足迹与碳治理（全生命周期碳排放核算、矿</w:t>
      </w:r>
      <w:r>
        <w:rPr>
          <w:rFonts w:ascii="仿宋" w:hAnsi="仿宋" w:eastAsia="仿宋" w:cs="仿宋"/>
          <w:spacing w:val="-10"/>
          <w:sz w:val="28"/>
          <w:szCs w:val="28"/>
        </w:rPr>
        <w:t>区生态修复、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ESG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评级与信息披露等）</w:t>
      </w:r>
    </w:p>
    <w:p w14:paraId="76998E3F">
      <w:pPr>
        <w:spacing w:before="2" w:line="411" w:lineRule="auto"/>
        <w:ind w:left="42" w:right="94" w:hanging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3.绿色供应链管理与国际合作（海外矿产投资、国际合作与资源外交</w:t>
      </w:r>
      <w:r>
        <w:rPr>
          <w:rFonts w:ascii="仿宋" w:hAnsi="仿宋" w:eastAsia="仿宋" w:cs="仿宋"/>
          <w:spacing w:val="-12"/>
          <w:sz w:val="28"/>
          <w:szCs w:val="28"/>
        </w:rPr>
        <w:t>等）</w:t>
      </w:r>
    </w:p>
    <w:p w14:paraId="486E5254">
      <w:pPr>
        <w:spacing w:before="2" w:line="411" w:lineRule="auto"/>
        <w:ind w:left="34" w:right="93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请注意：有关废旧电池、电子废弃物中的关键矿产资源回收与利用技术，请投赛道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7.3。</w:t>
      </w:r>
    </w:p>
    <w:p w14:paraId="72E257B1">
      <w:pPr>
        <w:spacing w:line="411" w:lineRule="auto"/>
        <w:rPr>
          <w:rFonts w:ascii="仿宋" w:hAnsi="仿宋" w:eastAsia="仿宋" w:cs="仿宋"/>
          <w:sz w:val="28"/>
          <w:szCs w:val="28"/>
        </w:rPr>
        <w:sectPr>
          <w:footerReference r:id="rId34" w:type="default"/>
          <w:pgSz w:w="11907" w:h="16839"/>
          <w:pgMar w:top="400" w:right="1702" w:bottom="1198" w:left="1785" w:header="0" w:footer="967" w:gutter="0"/>
          <w:cols w:space="720" w:num="1"/>
        </w:sectPr>
      </w:pPr>
    </w:p>
    <w:p w14:paraId="490067ED">
      <w:pPr>
        <w:spacing w:line="271" w:lineRule="auto"/>
        <w:rPr>
          <w:rFonts w:ascii="Arial"/>
          <w:sz w:val="21"/>
        </w:rPr>
      </w:pPr>
    </w:p>
    <w:p w14:paraId="12FD104B">
      <w:pPr>
        <w:spacing w:line="271" w:lineRule="auto"/>
        <w:rPr>
          <w:rFonts w:ascii="Arial"/>
          <w:sz w:val="21"/>
        </w:rPr>
      </w:pPr>
    </w:p>
    <w:p w14:paraId="57533FF5">
      <w:pPr>
        <w:spacing w:line="271" w:lineRule="auto"/>
        <w:rPr>
          <w:rFonts w:ascii="Arial"/>
          <w:sz w:val="21"/>
        </w:rPr>
      </w:pPr>
    </w:p>
    <w:p w14:paraId="54C44B25">
      <w:pPr>
        <w:spacing w:line="272" w:lineRule="auto"/>
        <w:rPr>
          <w:rFonts w:ascii="Arial"/>
          <w:sz w:val="21"/>
        </w:rPr>
      </w:pPr>
    </w:p>
    <w:p w14:paraId="4BD7CD73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35" w:name="bookmark36"/>
      <w:bookmarkEnd w:id="35"/>
      <w:r>
        <w:rPr>
          <w:rFonts w:ascii="黑体" w:hAnsi="黑体" w:eastAsia="黑体" w:cs="黑体"/>
          <w:spacing w:val="4"/>
          <w:sz w:val="31"/>
          <w:szCs w:val="31"/>
        </w:rPr>
        <w:t>赛道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Arial" w:hAnsi="Arial" w:eastAsia="Arial" w:cs="Arial"/>
          <w:spacing w:val="4"/>
          <w:sz w:val="31"/>
          <w:szCs w:val="31"/>
        </w:rPr>
        <w:t>10</w:t>
      </w:r>
      <w:r>
        <w:rPr>
          <w:rFonts w:ascii="黑体" w:hAnsi="黑体" w:eastAsia="黑体" w:cs="黑体"/>
          <w:spacing w:val="4"/>
          <w:sz w:val="31"/>
          <w:szCs w:val="31"/>
        </w:rPr>
        <w:t>：数字智能赋能碳中和</w:t>
      </w:r>
    </w:p>
    <w:p w14:paraId="4D2F9321">
      <w:pPr>
        <w:spacing w:line="312" w:lineRule="auto"/>
        <w:rPr>
          <w:rFonts w:ascii="Arial"/>
          <w:sz w:val="21"/>
        </w:rPr>
      </w:pPr>
    </w:p>
    <w:p w14:paraId="60E7DE52">
      <w:pPr>
        <w:spacing w:before="91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6" w:name="bookmark37"/>
      <w:bookmarkEnd w:id="36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10.1：赋能碳中和的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AI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方法创新</w:t>
      </w:r>
    </w:p>
    <w:p w14:paraId="2D53EFB4">
      <w:pPr>
        <w:spacing w:line="279" w:lineRule="auto"/>
        <w:rPr>
          <w:rFonts w:ascii="Arial"/>
          <w:sz w:val="21"/>
        </w:rPr>
      </w:pPr>
    </w:p>
    <w:p w14:paraId="6E9A04E7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背景介绍：</w:t>
      </w:r>
    </w:p>
    <w:p w14:paraId="49A8D341">
      <w:pPr>
        <w:spacing w:before="291" w:line="412" w:lineRule="auto"/>
        <w:ind w:left="32" w:right="12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本赛道聚焦可跨行业复用的数字智能方法学创新，包括新网络结</w:t>
      </w:r>
      <w:r>
        <w:rPr>
          <w:rFonts w:ascii="仿宋" w:hAnsi="仿宋" w:eastAsia="仿宋" w:cs="仿宋"/>
          <w:spacing w:val="-1"/>
          <w:sz w:val="28"/>
          <w:szCs w:val="28"/>
        </w:rPr>
        <w:t>构、新训练策略、新生成范式等，赋能双碳科学发现和应用。</w:t>
      </w:r>
    </w:p>
    <w:p w14:paraId="5560C939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5184AB72">
      <w:pPr>
        <w:spacing w:before="294" w:line="216" w:lineRule="auto"/>
        <w:ind w:right="6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1.AI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辅助低碳材料开发（如碳捕集吸附材</w:t>
      </w:r>
      <w:r>
        <w:rPr>
          <w:rFonts w:ascii="仿宋" w:hAnsi="仿宋" w:eastAsia="仿宋" w:cs="仿宋"/>
          <w:spacing w:val="-7"/>
          <w:sz w:val="28"/>
          <w:szCs w:val="28"/>
        </w:rPr>
        <w:t>料、催化剂、储能材料等）</w:t>
      </w:r>
    </w:p>
    <w:p w14:paraId="520D539F">
      <w:pPr>
        <w:spacing w:before="296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2.AI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辅助实验设计、自动优化、反应条件预测</w:t>
      </w:r>
    </w:p>
    <w:p w14:paraId="73EC86FB">
      <w:pPr>
        <w:spacing w:before="294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3.AI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赋能气候科学（降尺度、极端事件预测、模式参数化）</w:t>
      </w:r>
    </w:p>
    <w:p w14:paraId="1251D534">
      <w:pPr>
        <w:spacing w:before="293" w:line="219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4.生成式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AI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用于低碳设计（建筑、交通、工业流程）</w:t>
      </w:r>
    </w:p>
    <w:p w14:paraId="56158304">
      <w:pPr>
        <w:spacing w:before="293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5.大语言模型在双碳知识管理、政策分析中的应用</w:t>
      </w:r>
    </w:p>
    <w:p w14:paraId="0B36D42F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35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5A111E0C">
      <w:pPr>
        <w:spacing w:line="278" w:lineRule="auto"/>
        <w:rPr>
          <w:rFonts w:ascii="Arial"/>
          <w:sz w:val="21"/>
        </w:rPr>
      </w:pPr>
    </w:p>
    <w:p w14:paraId="79290132">
      <w:pPr>
        <w:spacing w:line="278" w:lineRule="auto"/>
        <w:rPr>
          <w:rFonts w:ascii="Arial"/>
          <w:sz w:val="21"/>
        </w:rPr>
      </w:pPr>
    </w:p>
    <w:p w14:paraId="46109F46">
      <w:pPr>
        <w:spacing w:line="279" w:lineRule="auto"/>
        <w:rPr>
          <w:rFonts w:ascii="Arial"/>
          <w:sz w:val="21"/>
        </w:rPr>
      </w:pPr>
    </w:p>
    <w:p w14:paraId="0A5F618B">
      <w:pPr>
        <w:spacing w:line="279" w:lineRule="auto"/>
        <w:rPr>
          <w:rFonts w:ascii="Arial"/>
          <w:sz w:val="21"/>
        </w:rPr>
      </w:pPr>
    </w:p>
    <w:p w14:paraId="0E724FFC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7" w:name="bookmark38"/>
      <w:bookmarkEnd w:id="37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10.2：绿色数字基础设施</w:t>
      </w:r>
    </w:p>
    <w:p w14:paraId="4B60ED91">
      <w:pPr>
        <w:spacing w:line="277" w:lineRule="auto"/>
        <w:rPr>
          <w:rFonts w:ascii="Arial"/>
          <w:sz w:val="21"/>
        </w:rPr>
      </w:pPr>
    </w:p>
    <w:p w14:paraId="03AC9B47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65E1EA39">
      <w:pPr>
        <w:spacing w:before="293" w:line="411" w:lineRule="auto"/>
        <w:ind w:left="32" w:right="12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本赛题聚焦数据中心、大模型、区块链、通信网络等数字基础设</w:t>
      </w:r>
      <w:r>
        <w:rPr>
          <w:rFonts w:ascii="仿宋" w:hAnsi="仿宋" w:eastAsia="仿宋" w:cs="仿宋"/>
          <w:spacing w:val="-2"/>
          <w:sz w:val="28"/>
          <w:szCs w:val="28"/>
        </w:rPr>
        <w:t>施本身的碳排放治理。</w:t>
      </w:r>
    </w:p>
    <w:p w14:paraId="113CDE9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2B0E1AED">
      <w:pPr>
        <w:spacing w:before="293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1.数据中心节能技术（液冷、余热回收、</w:t>
      </w:r>
      <w:r>
        <w:rPr>
          <w:rFonts w:ascii="仿宋" w:hAnsi="仿宋" w:eastAsia="仿宋" w:cs="仿宋"/>
          <w:spacing w:val="-2"/>
          <w:sz w:val="28"/>
          <w:szCs w:val="28"/>
        </w:rPr>
        <w:t>潮汐调度等）</w:t>
      </w:r>
    </w:p>
    <w:p w14:paraId="007E294C">
      <w:pPr>
        <w:spacing w:before="294" w:line="218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2.大模型低碳训练（模型压缩、知识蒸馏、高效微调等）</w:t>
      </w:r>
    </w:p>
    <w:p w14:paraId="6A461EB9">
      <w:pPr>
        <w:spacing w:before="293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3.边缘计算、端侧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AI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与算力下沉</w:t>
      </w:r>
    </w:p>
    <w:p w14:paraId="51D7CECF">
      <w:pPr>
        <w:spacing w:before="294" w:line="219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4.绿色区块链（PoS、分片、零知识证明）</w:t>
      </w:r>
    </w:p>
    <w:p w14:paraId="2BE1FC95">
      <w:pPr>
        <w:spacing w:before="291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5.太空计算、光计算等新型低功耗计算范式</w:t>
      </w:r>
    </w:p>
    <w:p w14:paraId="218B00BA">
      <w:pPr>
        <w:spacing w:before="294" w:line="218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6.通信网络节能（基站节能、绿色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5G/6G）</w:t>
      </w:r>
    </w:p>
    <w:p w14:paraId="211A17E7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36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0A608865">
      <w:pPr>
        <w:spacing w:line="278" w:lineRule="auto"/>
        <w:rPr>
          <w:rFonts w:ascii="Arial"/>
          <w:sz w:val="21"/>
        </w:rPr>
      </w:pPr>
    </w:p>
    <w:p w14:paraId="0DB27D49">
      <w:pPr>
        <w:spacing w:line="278" w:lineRule="auto"/>
        <w:rPr>
          <w:rFonts w:ascii="Arial"/>
          <w:sz w:val="21"/>
        </w:rPr>
      </w:pPr>
    </w:p>
    <w:p w14:paraId="050FD124">
      <w:pPr>
        <w:spacing w:line="279" w:lineRule="auto"/>
        <w:rPr>
          <w:rFonts w:ascii="Arial"/>
          <w:sz w:val="21"/>
        </w:rPr>
      </w:pPr>
    </w:p>
    <w:p w14:paraId="278DEA90">
      <w:pPr>
        <w:spacing w:line="279" w:lineRule="auto"/>
        <w:rPr>
          <w:rFonts w:ascii="Arial"/>
          <w:sz w:val="21"/>
        </w:rPr>
      </w:pPr>
    </w:p>
    <w:p w14:paraId="54F4C975">
      <w:pPr>
        <w:spacing w:before="91" w:line="217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38" w:name="bookmark39"/>
      <w:bookmarkEnd w:id="38"/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赛题</w:t>
      </w:r>
      <w:r>
        <w:rPr>
          <w:rFonts w:ascii="仿宋" w:hAnsi="仿宋" w:eastAsia="仿宋" w:cs="仿宋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10.3：通用数字孪生与碳管理平台</w:t>
      </w:r>
    </w:p>
    <w:p w14:paraId="5EA4C203">
      <w:pPr>
        <w:spacing w:line="280" w:lineRule="auto"/>
        <w:rPr>
          <w:rFonts w:ascii="Arial"/>
          <w:sz w:val="21"/>
        </w:rPr>
      </w:pPr>
    </w:p>
    <w:p w14:paraId="713D9A3B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41C5F2E7">
      <w:pPr>
        <w:spacing w:before="292" w:line="217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可跨行业复用的通用平台、框架、协议。</w:t>
      </w:r>
    </w:p>
    <w:p w14:paraId="512D76E5">
      <w:pPr>
        <w:spacing w:before="294" w:line="221" w:lineRule="auto"/>
        <w:ind w:left="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方向</w:t>
      </w:r>
      <w:r>
        <w:rPr>
          <w:rFonts w:ascii="仿宋" w:hAnsi="仿宋" w:eastAsia="仿宋" w:cs="仿宋"/>
          <w:spacing w:val="-10"/>
          <w:sz w:val="28"/>
          <w:szCs w:val="28"/>
        </w:rPr>
        <w:t>：</w:t>
      </w:r>
    </w:p>
    <w:p w14:paraId="549F0DBE">
      <w:pPr>
        <w:spacing w:before="289" w:line="217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1.通用数字孪生建模框架（数据融合、仿真引擎、模型降阶</w:t>
      </w:r>
      <w:r>
        <w:rPr>
          <w:rFonts w:ascii="仿宋" w:hAnsi="仿宋" w:eastAsia="仿宋" w:cs="仿宋"/>
          <w:spacing w:val="-2"/>
          <w:sz w:val="28"/>
          <w:szCs w:val="28"/>
        </w:rPr>
        <w:t>等）</w:t>
      </w:r>
    </w:p>
    <w:p w14:paraId="2494A448">
      <w:pPr>
        <w:spacing w:before="295" w:line="217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2.跨行业物联网感知架构与边缘计算平台</w:t>
      </w:r>
    </w:p>
    <w:p w14:paraId="22FEFDC6">
      <w:pPr>
        <w:spacing w:before="295" w:line="218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3.区块链可信碳数据、碳资产管理与核证追溯</w:t>
      </w:r>
    </w:p>
    <w:p w14:paraId="25DB005A">
      <w:pPr>
        <w:spacing w:before="294" w:line="217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4.企业/园区/城市通用能碳管理平台</w:t>
      </w:r>
    </w:p>
    <w:p w14:paraId="6C72A781">
      <w:pPr>
        <w:spacing w:before="295" w:line="216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5.数据安全、隐私保护、标准接口与互操作性</w:t>
      </w:r>
    </w:p>
    <w:p w14:paraId="529C9FA4">
      <w:pPr>
        <w:spacing w:before="294" w:line="412" w:lineRule="auto"/>
        <w:ind w:left="33" w:right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请注意：有关行业专用数字孪生（如航空发动机、电网、建筑）的行</w:t>
      </w:r>
      <w:r>
        <w:rPr>
          <w:rFonts w:ascii="仿宋" w:hAnsi="仿宋" w:eastAsia="仿宋" w:cs="仿宋"/>
          <w:spacing w:val="-3"/>
          <w:sz w:val="28"/>
          <w:szCs w:val="28"/>
        </w:rPr>
        <w:t>业验证和行业知识问题，请投对应行业赛道。</w:t>
      </w:r>
    </w:p>
    <w:p w14:paraId="6B242926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37" w:type="default"/>
          <w:pgSz w:w="11907" w:h="16839"/>
          <w:pgMar w:top="400" w:right="1785" w:bottom="1198" w:left="1785" w:header="0" w:footer="967" w:gutter="0"/>
          <w:cols w:space="720" w:num="1"/>
        </w:sectPr>
      </w:pPr>
    </w:p>
    <w:p w14:paraId="38E436B5">
      <w:pPr>
        <w:spacing w:line="271" w:lineRule="auto"/>
        <w:rPr>
          <w:rFonts w:ascii="Arial"/>
          <w:sz w:val="21"/>
        </w:rPr>
      </w:pPr>
    </w:p>
    <w:p w14:paraId="2BAA62CF">
      <w:pPr>
        <w:spacing w:line="271" w:lineRule="auto"/>
        <w:rPr>
          <w:rFonts w:ascii="Arial"/>
          <w:sz w:val="21"/>
        </w:rPr>
      </w:pPr>
    </w:p>
    <w:p w14:paraId="2C333D16">
      <w:pPr>
        <w:spacing w:line="271" w:lineRule="auto"/>
        <w:rPr>
          <w:rFonts w:ascii="Arial"/>
          <w:sz w:val="21"/>
        </w:rPr>
      </w:pPr>
    </w:p>
    <w:p w14:paraId="397762FE">
      <w:pPr>
        <w:spacing w:line="272" w:lineRule="auto"/>
        <w:rPr>
          <w:rFonts w:ascii="Arial"/>
          <w:sz w:val="21"/>
        </w:rPr>
      </w:pPr>
    </w:p>
    <w:p w14:paraId="143A40A7">
      <w:pPr>
        <w:spacing w:before="101" w:line="237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bookmarkStart w:id="39" w:name="bookmark40"/>
      <w:bookmarkEnd w:id="39"/>
      <w:r>
        <w:rPr>
          <w:rFonts w:ascii="黑体" w:hAnsi="黑体" w:eastAsia="黑体" w:cs="黑体"/>
          <w:spacing w:val="-1"/>
          <w:sz w:val="31"/>
          <w:szCs w:val="31"/>
        </w:rPr>
        <w:t>赛道</w:t>
      </w:r>
      <w:r>
        <w:rPr>
          <w:rFonts w:ascii="黑体" w:hAnsi="黑体" w:eastAsia="黑体" w:cs="黑体"/>
          <w:spacing w:val="-34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"/>
          <w:sz w:val="31"/>
          <w:szCs w:val="31"/>
        </w:rPr>
        <w:t>11</w:t>
      </w:r>
      <w:r>
        <w:rPr>
          <w:rFonts w:ascii="黑体" w:hAnsi="黑体" w:eastAsia="黑体" w:cs="黑体"/>
          <w:spacing w:val="-1"/>
          <w:sz w:val="31"/>
          <w:szCs w:val="31"/>
        </w:rPr>
        <w:t>：绿色航空动力</w:t>
      </w:r>
    </w:p>
    <w:p w14:paraId="682106F9">
      <w:pPr>
        <w:spacing w:line="312" w:lineRule="auto"/>
        <w:rPr>
          <w:rFonts w:ascii="Arial"/>
          <w:sz w:val="21"/>
        </w:rPr>
      </w:pPr>
    </w:p>
    <w:p w14:paraId="6C669CD4">
      <w:pPr>
        <w:spacing w:before="91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40" w:name="bookmark41"/>
      <w:bookmarkEnd w:id="40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11.1：航空混合电推进系统</w:t>
      </w:r>
    </w:p>
    <w:p w14:paraId="5D24749E">
      <w:pPr>
        <w:spacing w:line="278" w:lineRule="auto"/>
        <w:rPr>
          <w:rFonts w:ascii="Arial"/>
          <w:sz w:val="21"/>
        </w:rPr>
      </w:pPr>
    </w:p>
    <w:p w14:paraId="65403BAA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29E2A111">
      <w:pPr>
        <w:spacing w:before="289" w:line="412" w:lineRule="auto"/>
        <w:ind w:left="33" w:right="102" w:firstLine="56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航空混合电推进是提升航空动力效率、降低燃油消耗和</w:t>
      </w:r>
      <w:r>
        <w:rPr>
          <w:rFonts w:ascii="仿宋" w:hAnsi="仿宋" w:eastAsia="仿宋" w:cs="仿宋"/>
          <w:spacing w:val="-5"/>
          <w:sz w:val="28"/>
          <w:szCs w:val="28"/>
        </w:rPr>
        <w:t>排放的重</w:t>
      </w:r>
      <w:r>
        <w:rPr>
          <w:rFonts w:ascii="仿宋" w:hAnsi="仿宋" w:eastAsia="仿宋" w:cs="仿宋"/>
          <w:spacing w:val="-4"/>
          <w:sz w:val="28"/>
          <w:szCs w:val="28"/>
        </w:rPr>
        <w:t>要方向。该方向涉及发动机、储能、电机、电力电子、热管理、控制和飞行器总体的深度耦合，需要在性能、安全、重量和可靠性之间综</w:t>
      </w:r>
      <w:r>
        <w:rPr>
          <w:rFonts w:ascii="仿宋" w:hAnsi="仿宋" w:eastAsia="仿宋" w:cs="仿宋"/>
          <w:spacing w:val="-10"/>
          <w:sz w:val="28"/>
          <w:szCs w:val="28"/>
        </w:rPr>
        <w:t>合优化。</w:t>
      </w:r>
    </w:p>
    <w:p w14:paraId="4A76A12D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20E0753C">
      <w:pPr>
        <w:spacing w:before="293" w:line="412" w:lineRule="auto"/>
        <w:ind w:left="37" w:right="7" w:firstLine="55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新概念新型循环发动机、分布式电推进构型、总体性能分析、能</w:t>
      </w:r>
      <w:r>
        <w:rPr>
          <w:rFonts w:ascii="仿宋" w:hAnsi="仿宋" w:eastAsia="仿宋" w:cs="仿宋"/>
          <w:spacing w:val="-1"/>
          <w:sz w:val="28"/>
          <w:szCs w:val="28"/>
        </w:rPr>
        <w:t>量管理优化、储能系统热管理、多变量控制、故障诊断与容错控制、</w:t>
      </w:r>
      <w:r>
        <w:rPr>
          <w:rFonts w:ascii="仿宋" w:hAnsi="仿宋" w:eastAsia="仿宋" w:cs="仿宋"/>
          <w:spacing w:val="-4"/>
          <w:sz w:val="28"/>
          <w:szCs w:val="28"/>
        </w:rPr>
        <w:t>飞发一体化控制、无人机协同控制、带飞轮储能的涡轮电动力、电机</w:t>
      </w:r>
      <w:r>
        <w:rPr>
          <w:rFonts w:ascii="仿宋" w:hAnsi="仿宋" w:eastAsia="仿宋" w:cs="仿宋"/>
          <w:spacing w:val="-3"/>
          <w:sz w:val="28"/>
          <w:szCs w:val="28"/>
        </w:rPr>
        <w:t>与逆变器控制等。</w:t>
      </w:r>
    </w:p>
    <w:p w14:paraId="4F816FC2">
      <w:pPr>
        <w:spacing w:before="157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41" w:name="bookmark42"/>
      <w:bookmarkEnd w:id="41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11.2：航空发动机数字孪生</w:t>
      </w:r>
    </w:p>
    <w:p w14:paraId="29A1A893">
      <w:pPr>
        <w:spacing w:line="278" w:lineRule="auto"/>
        <w:rPr>
          <w:rFonts w:ascii="Arial"/>
          <w:sz w:val="21"/>
        </w:rPr>
      </w:pPr>
    </w:p>
    <w:p w14:paraId="74792E7C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56F4FA10">
      <w:pPr>
        <w:spacing w:before="290" w:line="412" w:lineRule="auto"/>
        <w:ind w:left="33" w:firstLine="56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航空发动机具有高复杂度、高可靠性要求和长寿命周期</w:t>
      </w:r>
      <w:r>
        <w:rPr>
          <w:rFonts w:ascii="仿宋" w:hAnsi="仿宋" w:eastAsia="仿宋" w:cs="仿宋"/>
          <w:spacing w:val="-5"/>
          <w:sz w:val="28"/>
          <w:szCs w:val="28"/>
        </w:rPr>
        <w:t>特征，数</w:t>
      </w:r>
      <w:r>
        <w:rPr>
          <w:rFonts w:ascii="仿宋" w:hAnsi="仿宋" w:eastAsia="仿宋" w:cs="仿宋"/>
          <w:sz w:val="28"/>
          <w:szCs w:val="28"/>
        </w:rPr>
        <w:t>字孪生可通过虚实映射提升设计、试验、运行维</w:t>
      </w:r>
      <w:r>
        <w:rPr>
          <w:rFonts w:ascii="仿宋" w:hAnsi="仿宋" w:eastAsia="仿宋" w:cs="仿宋"/>
          <w:spacing w:val="-1"/>
          <w:sz w:val="28"/>
          <w:szCs w:val="28"/>
        </w:rPr>
        <w:t>护和减排评估能力。</w:t>
      </w:r>
      <w:r>
        <w:rPr>
          <w:rFonts w:ascii="仿宋" w:hAnsi="仿宋" w:eastAsia="仿宋" w:cs="仿宋"/>
          <w:spacing w:val="-4"/>
          <w:sz w:val="28"/>
          <w:szCs w:val="28"/>
        </w:rPr>
        <w:t>将碳排放全生命周期评估纳入数字孪生，有助于形成绿色航空动力的</w:t>
      </w:r>
      <w:r>
        <w:rPr>
          <w:rFonts w:ascii="仿宋" w:hAnsi="仿宋" w:eastAsia="仿宋" w:cs="仿宋"/>
          <w:spacing w:val="-2"/>
          <w:sz w:val="28"/>
          <w:szCs w:val="28"/>
        </w:rPr>
        <w:t>精细化管理工具。</w:t>
      </w:r>
    </w:p>
    <w:p w14:paraId="37CD0598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65D300D4">
      <w:pPr>
        <w:spacing w:before="293" w:line="412" w:lineRule="auto"/>
        <w:ind w:left="32" w:right="100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碳排放全生命周期评估、碳排放评估模型、总体性能/振动/滑油数字孪生、性能评估与衰退预测、数字化试验、险情提前预警、数字</w:t>
      </w:r>
    </w:p>
    <w:p w14:paraId="25291089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footerReference r:id="rId38" w:type="default"/>
          <w:pgSz w:w="11907" w:h="16839"/>
          <w:pgMar w:top="400" w:right="1694" w:bottom="1198" w:left="1785" w:header="0" w:footer="967" w:gutter="0"/>
          <w:cols w:space="720" w:num="1"/>
        </w:sectPr>
      </w:pPr>
    </w:p>
    <w:p w14:paraId="599886D6">
      <w:pPr>
        <w:spacing w:line="278" w:lineRule="auto"/>
        <w:rPr>
          <w:rFonts w:ascii="Arial"/>
          <w:sz w:val="21"/>
        </w:rPr>
      </w:pPr>
    </w:p>
    <w:p w14:paraId="6FE143BE">
      <w:pPr>
        <w:spacing w:line="278" w:lineRule="auto"/>
        <w:rPr>
          <w:rFonts w:ascii="Arial"/>
          <w:sz w:val="21"/>
        </w:rPr>
      </w:pPr>
    </w:p>
    <w:p w14:paraId="53D2AD07">
      <w:pPr>
        <w:spacing w:line="278" w:lineRule="auto"/>
        <w:rPr>
          <w:rFonts w:ascii="Arial"/>
          <w:sz w:val="21"/>
        </w:rPr>
      </w:pPr>
    </w:p>
    <w:p w14:paraId="1AABCB08">
      <w:pPr>
        <w:spacing w:line="279" w:lineRule="auto"/>
        <w:rPr>
          <w:rFonts w:ascii="Arial"/>
          <w:sz w:val="21"/>
        </w:rPr>
      </w:pPr>
    </w:p>
    <w:p w14:paraId="7DD4F3B2">
      <w:pPr>
        <w:spacing w:before="91" w:line="219" w:lineRule="auto"/>
        <w:ind w:left="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化设计工具等。</w:t>
      </w:r>
    </w:p>
    <w:p w14:paraId="1DBC7807">
      <w:pPr>
        <w:spacing w:before="293" w:line="413" w:lineRule="auto"/>
        <w:ind w:left="34" w:right="90" w:firstLine="55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请注意：涉及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AI 与数字孪生的通用算法、技</w:t>
      </w:r>
      <w:r>
        <w:rPr>
          <w:rFonts w:ascii="仿宋" w:hAnsi="仿宋" w:eastAsia="仿宋" w:cs="仿宋"/>
          <w:spacing w:val="-3"/>
          <w:sz w:val="28"/>
          <w:szCs w:val="28"/>
        </w:rPr>
        <w:t>术方法、平台的作</w:t>
      </w:r>
      <w:r>
        <w:rPr>
          <w:rFonts w:ascii="仿宋" w:hAnsi="仿宋" w:eastAsia="仿宋" w:cs="仿宋"/>
          <w:spacing w:val="-7"/>
          <w:sz w:val="28"/>
          <w:szCs w:val="28"/>
        </w:rPr>
        <w:t>品，请投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赛道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10</w:t>
      </w:r>
      <w:r>
        <w:rPr>
          <w:rFonts w:ascii="仿宋" w:hAnsi="仿宋" w:eastAsia="仿宋" w:cs="仿宋"/>
          <w:spacing w:val="-7"/>
          <w:sz w:val="28"/>
          <w:szCs w:val="28"/>
        </w:rPr>
        <w:t>，本赛道侧重行业应用场景的适配</w:t>
      </w:r>
      <w:r>
        <w:rPr>
          <w:rFonts w:ascii="仿宋" w:hAnsi="仿宋" w:eastAsia="仿宋" w:cs="仿宋"/>
          <w:spacing w:val="-8"/>
          <w:sz w:val="28"/>
          <w:szCs w:val="28"/>
        </w:rPr>
        <w:t>验证与行业知识问</w:t>
      </w:r>
      <w:r>
        <w:rPr>
          <w:rFonts w:ascii="仿宋" w:hAnsi="仿宋" w:eastAsia="仿宋" w:cs="仿宋"/>
          <w:spacing w:val="-14"/>
          <w:sz w:val="28"/>
          <w:szCs w:val="28"/>
        </w:rPr>
        <w:t>题。</w:t>
      </w:r>
    </w:p>
    <w:p w14:paraId="068EF0BC">
      <w:pPr>
        <w:spacing w:before="152" w:line="218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42" w:name="bookmark43"/>
      <w:bookmarkEnd w:id="42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11.3：氢能航空发动机高效热管理</w:t>
      </w:r>
    </w:p>
    <w:p w14:paraId="4E6B2006">
      <w:pPr>
        <w:spacing w:line="280" w:lineRule="auto"/>
        <w:rPr>
          <w:rFonts w:ascii="Arial"/>
          <w:sz w:val="21"/>
        </w:rPr>
      </w:pPr>
    </w:p>
    <w:p w14:paraId="30301200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7755B704">
      <w:pPr>
        <w:spacing w:before="294" w:line="411" w:lineRule="auto"/>
        <w:ind w:left="32" w:firstLine="56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氢能航空发动机有望降低航空碳排放，但液氢储存、燃料供给、</w:t>
      </w:r>
      <w:r>
        <w:rPr>
          <w:rFonts w:ascii="仿宋" w:hAnsi="仿宋" w:eastAsia="仿宋" w:cs="仿宋"/>
          <w:spacing w:val="-4"/>
          <w:sz w:val="28"/>
          <w:szCs w:val="28"/>
        </w:rPr>
        <w:t>热管理和高温部件防护带来新的工程挑战。高效热管理需要利用氢燃</w:t>
      </w:r>
      <w:r>
        <w:rPr>
          <w:rFonts w:ascii="仿宋" w:hAnsi="仿宋" w:eastAsia="仿宋" w:cs="仿宋"/>
          <w:spacing w:val="-2"/>
          <w:sz w:val="28"/>
          <w:szCs w:val="28"/>
        </w:rPr>
        <w:t>料低温特性并解决冷却结构、热流耦合和安全控制等关键问题。</w:t>
      </w:r>
    </w:p>
    <w:p w14:paraId="45A519AC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72E90694">
      <w:pPr>
        <w:spacing w:before="295" w:line="412" w:lineRule="auto"/>
        <w:ind w:left="32" w:right="93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新型冷却结构设计、热管理设计、氢燃料预冷再利用、涡轮热防</w:t>
      </w:r>
      <w:r>
        <w:rPr>
          <w:rFonts w:ascii="仿宋" w:hAnsi="仿宋" w:eastAsia="仿宋" w:cs="仿宋"/>
          <w:spacing w:val="-2"/>
          <w:sz w:val="28"/>
          <w:szCs w:val="28"/>
        </w:rPr>
        <w:t>护、高温部件热流耦合分析等。</w:t>
      </w:r>
    </w:p>
    <w:p w14:paraId="23D35A03">
      <w:pPr>
        <w:spacing w:before="157" w:line="219" w:lineRule="auto"/>
        <w:ind w:left="33"/>
        <w:outlineLvl w:val="1"/>
        <w:rPr>
          <w:rFonts w:ascii="仿宋" w:hAnsi="仿宋" w:eastAsia="仿宋" w:cs="仿宋"/>
          <w:sz w:val="28"/>
          <w:szCs w:val="28"/>
        </w:rPr>
      </w:pPr>
      <w:bookmarkStart w:id="43" w:name="bookmark44"/>
      <w:bookmarkEnd w:id="43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赛题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11.4：航空发动机低碳燃烧室设计</w:t>
      </w:r>
    </w:p>
    <w:p w14:paraId="11871B1F">
      <w:pPr>
        <w:spacing w:line="278" w:lineRule="auto"/>
        <w:rPr>
          <w:rFonts w:ascii="Arial"/>
          <w:sz w:val="21"/>
        </w:rPr>
      </w:pPr>
    </w:p>
    <w:p w14:paraId="5F42E91B"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背景介绍：</w:t>
      </w:r>
    </w:p>
    <w:p w14:paraId="7D65F36D">
      <w:pPr>
        <w:spacing w:before="291" w:line="412" w:lineRule="auto"/>
        <w:ind w:left="34" w:right="90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燃烧室是航空发动机效率、排放和稳定性的关键部件。面向低碳航空，需要兼容可持续航空燃料和氢燃料等新型燃料，同时降低氮氧</w:t>
      </w:r>
      <w:r>
        <w:rPr>
          <w:rFonts w:ascii="仿宋" w:hAnsi="仿宋" w:eastAsia="仿宋" w:cs="仿宋"/>
          <w:spacing w:val="-2"/>
          <w:sz w:val="28"/>
          <w:szCs w:val="28"/>
        </w:rPr>
        <w:t>化物排放、控制燃烧不稳定并保障宽工况安全运行。</w:t>
      </w:r>
    </w:p>
    <w:p w14:paraId="25BB17C7">
      <w:pPr>
        <w:spacing w:before="1" w:line="217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可涵盖方向（包括但不限于</w:t>
      </w:r>
      <w:r>
        <w:rPr>
          <w:rFonts w:ascii="仿宋" w:hAnsi="仿宋" w:eastAsia="仿宋" w:cs="仿宋"/>
          <w:b/>
          <w:bCs/>
          <w:spacing w:val="-39"/>
          <w:sz w:val="28"/>
          <w:szCs w:val="28"/>
        </w:rPr>
        <w:t>）：</w:t>
      </w:r>
    </w:p>
    <w:p w14:paraId="3D50BBCE">
      <w:pPr>
        <w:spacing w:before="292" w:line="412" w:lineRule="auto"/>
        <w:ind w:left="34" w:right="91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燃料喷嘴优化、燃烧组织模式创新、富油/贫油分区设计、氮氧</w:t>
      </w:r>
      <w:r>
        <w:rPr>
          <w:rFonts w:ascii="仿宋" w:hAnsi="仿宋" w:eastAsia="仿宋" w:cs="仿宋"/>
          <w:spacing w:val="-4"/>
          <w:sz w:val="28"/>
          <w:szCs w:val="28"/>
        </w:rPr>
        <w:t>化物排放抑制、可持续航空燃料燃烧、氢燃料低排放燃烧、燃烧不稳定性控制等。</w:t>
      </w:r>
    </w:p>
    <w:sectPr>
      <w:footerReference r:id="rId39" w:type="default"/>
      <w:pgSz w:w="11907" w:h="16839"/>
      <w:pgMar w:top="400" w:right="1707" w:bottom="1198" w:left="1785" w:header="0" w:footer="9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41F4F">
    <w:pPr>
      <w:spacing w:line="228" w:lineRule="auto"/>
      <w:ind w:left="414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B4510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5D8F1">
    <w:pPr>
      <w:spacing w:line="228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63B92">
    <w:pPr>
      <w:spacing w:line="228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E4C11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53DC8">
    <w:pPr>
      <w:spacing w:line="228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623BC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4DDD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EC51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1C03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123C">
    <w:pPr>
      <w:spacing w:line="226" w:lineRule="auto"/>
      <w:ind w:left="409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612E">
    <w:pPr>
      <w:spacing w:line="228" w:lineRule="auto"/>
      <w:ind w:left="4129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A0D6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5646">
    <w:pPr>
      <w:spacing w:line="228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C5F2E">
    <w:pPr>
      <w:spacing w:line="228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9F4CA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C987A">
    <w:pPr>
      <w:spacing w:line="228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E5C0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9445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A9D3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FED6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BD139">
    <w:pPr>
      <w:spacing w:line="226" w:lineRule="auto"/>
      <w:ind w:left="408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2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F54DC">
    <w:pPr>
      <w:spacing w:line="226" w:lineRule="auto"/>
      <w:ind w:left="413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553A6">
    <w:pPr>
      <w:spacing w:line="226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3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99C38">
    <w:pPr>
      <w:spacing w:line="226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3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03FB">
    <w:pPr>
      <w:spacing w:line="226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3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37DAD">
    <w:pPr>
      <w:spacing w:line="226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3"/>
        <w:sz w:val="18"/>
        <w:szCs w:val="18"/>
      </w:rPr>
      <w:t>33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9FD7B">
    <w:pPr>
      <w:spacing w:line="228" w:lineRule="auto"/>
      <w:ind w:left="412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2EDB8">
    <w:pPr>
      <w:spacing w:line="226" w:lineRule="auto"/>
      <w:ind w:left="413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5806">
    <w:pPr>
      <w:spacing w:line="226" w:lineRule="auto"/>
      <w:ind w:left="4129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1781">
    <w:pPr>
      <w:spacing w:line="226" w:lineRule="auto"/>
      <w:ind w:left="4132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9D7D1">
    <w:pPr>
      <w:spacing w:line="226" w:lineRule="auto"/>
      <w:ind w:left="412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2A53">
    <w:pPr>
      <w:spacing w:line="226" w:lineRule="auto"/>
      <w:ind w:left="412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CCA9E">
    <w:pPr>
      <w:spacing w:before="75" w:line="219" w:lineRule="auto"/>
      <w:ind w:left="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b/>
        <w:bCs/>
        <w:spacing w:val="-6"/>
        <w:sz w:val="28"/>
        <w:szCs w:val="28"/>
      </w:rPr>
      <w:t>赛题</w:t>
    </w:r>
    <w:r>
      <w:rPr>
        <w:rFonts w:ascii="仿宋" w:hAnsi="仿宋" w:eastAsia="仿宋" w:cs="仿宋"/>
        <w:spacing w:val="-48"/>
        <w:sz w:val="28"/>
        <w:szCs w:val="28"/>
      </w:rPr>
      <w:t xml:space="preserve"> </w:t>
    </w:r>
    <w:r>
      <w:rPr>
        <w:rFonts w:ascii="仿宋" w:hAnsi="仿宋" w:eastAsia="仿宋" w:cs="仿宋"/>
        <w:b/>
        <w:bCs/>
        <w:spacing w:val="-6"/>
        <w:sz w:val="28"/>
        <w:szCs w:val="28"/>
      </w:rPr>
      <w:t>3.2：低碳林业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CF74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462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theme" Target="theme/theme1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a3afe344-dc9b-4b49-9b6b-5a35307f986a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5A925A2B</paraID>
      <start>154</start>
      <end>156</end>
      <status>unmodified</status>
      <modifiedWord/>
      <trackRevisions>false</trackRevisions>
    </reviewItem>
    <reviewItem>
      <errorID>fec6f677-7367-4276-9f28-29f7a3d23f5e</errorID>
      <errorWord>、与</errorWord>
      <group>L1_Word</group>
      <groupName>字词问题</groupName>
      <ability>L2_Typo</ability>
      <abilityName>字词错误</abilityName>
      <candidateList>
        <item>、</item>
      </candidateList>
      <explain/>
      <paraID>3EC011E6</paraID>
      <start>37</start>
      <end>39</end>
      <status>unmodified</status>
      <modifiedWord/>
      <trackRevisions>false</trackRevisions>
    </reviewItem>
    <reviewItem>
      <errorID>5d676a2c-5dd2-41db-82e6-f000b05ddd1f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57935E21</paraID>
      <start>4</start>
      <end>5</end>
      <status>unmodified</status>
      <modifiedWord/>
      <trackRevisions>false</trackRevisions>
    </reviewItem>
    <reviewItem>
      <errorID>81757572-f6c3-4957-8041-373493af69d1</errorID>
      <errorWord>、以及</errorWord>
      <group>L1_Punc</group>
      <groupName>标点问题</groupName>
      <ability>L2_Punc_CN</ability>
      <abilityName>标点符号问题</abilityName>
      <candidateList>
        <item>，以及</item>
      </candidateList>
      <explain>连接词前后不宜使用顿号，建议使用逗号。</explain>
      <paraID>608B2EC2</paraID>
      <start>175</start>
      <end>178</end>
      <status>unmodified</status>
      <modifiedWord/>
      <trackRevisions>false</trackRevisions>
    </reviewItem>
    <reviewItem>
      <errorID>f6dd0578-6ddf-4b24-b3a2-f64b1e13f54b</errorID>
      <errorWord>矿区生态修复</errorWord>
      <group>L1_Political</group>
      <groupName>政治性问题</groupName>
      <ability>L2_Keyword</ability>
      <abilityName>固定表述</abilityName>
      <candidateList>
        <item>矿山生态修复</item>
      </candidateList>
      <explain>词汇“矿山生态修复”在特定场景下为固定表述形式，请确认此处的“矿区生态修复”是否存在不当。</explain>
      <paraID>1A43AA93</paraID>
      <start>25</start>
      <end>31</end>
      <status>unmodified</status>
      <modifiedWord/>
      <trackRevisions>false</trackRevisions>
    </reviewItem>
    <reviewItem>
      <errorID>3849ce39-7cfd-4cf0-8459-ada2c6816716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49A8D341</paraID>
      <start>45</start>
      <end>47</end>
      <status>unmodified</status>
      <modifiedWord/>
      <trackRevisions>false</trackRevisions>
    </reviewItem>
    <reviewItem>
      <errorID>db6601f7-f8d6-44eb-837d-6a4e4151058e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56158304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6d3f66-088d-4fb7-a03e-c99f6e8ac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6104</Words>
  <Characters>6433</Characters>
  <TotalTime>0</TotalTime>
  <ScaleCrop>false</ScaleCrop>
  <LinksUpToDate>false</LinksUpToDate>
  <CharactersWithSpaces>6767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2026-06-23T10:08:00Z</dcterms:created>
  <dc:creator>Yijing Zhong</dc:creator>
  <cp:lastModifiedBy>展延栋</cp:lastModifiedBy>
  <dcterms:modified xsi:type="dcterms:W3CDTF">2026-06-27T03:09:35Z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2026-06-27T11:09:24Z</vt:filetime>
  </property>
  <property fmtid="{D5CDD505-2E9C-101B-9397-08002B2CF9AE}" pid="4" name="KSOTemplateDocerSaveRecord">
    <vt:lpwstr>eyJoZGlkIjoiYmY5ODNlOGJhYzMzOTQzMTc2YWNlNmJjOGNjOTE4NjUiLCJ1c2VySWQiOiI5MzE3NDkxNjAifQ==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D4EF09342F094FDBAE863DA24FF0F498_12</vt:lpwstr>
  </property>
</Properties>
</file>